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06" w:rsidRDefault="00607C06" w:rsidP="00C6078A">
      <w:pPr>
        <w:widowControl/>
        <w:shd w:val="clear" w:color="auto" w:fill="FFFFFF"/>
        <w:spacing w:line="401" w:lineRule="atLeast"/>
        <w:jc w:val="center"/>
        <w:rPr>
          <w:rFonts w:ascii="黑体" w:eastAsia="黑体" w:hAnsi="黑体" w:cs="Tahoma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供水管道工</w:t>
      </w:r>
      <w:proofErr w:type="gramStart"/>
      <w:r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程涉路</w:t>
      </w:r>
      <w:proofErr w:type="gramEnd"/>
      <w:r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（高速）</w:t>
      </w:r>
      <w:r w:rsidR="004D32CA" w:rsidRPr="004D32CA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项目</w:t>
      </w:r>
    </w:p>
    <w:p w:rsidR="00C6078A" w:rsidRPr="00874E45" w:rsidRDefault="00C6078A" w:rsidP="00C6078A">
      <w:pPr>
        <w:widowControl/>
        <w:shd w:val="clear" w:color="auto" w:fill="FFFFFF"/>
        <w:spacing w:line="401" w:lineRule="atLeast"/>
        <w:jc w:val="center"/>
        <w:rPr>
          <w:rFonts w:ascii="黑体" w:eastAsia="黑体" w:hAnsi="黑体" w:cs="Tahoma"/>
          <w:b/>
          <w:color w:val="000000"/>
          <w:kern w:val="0"/>
          <w:sz w:val="44"/>
          <w:szCs w:val="44"/>
        </w:rPr>
      </w:pPr>
      <w:r w:rsidRPr="00874E45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采购澄清公告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本次就宜兴</w:t>
      </w:r>
      <w:r w:rsidR="004D32C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水</w:t>
      </w:r>
      <w:proofErr w:type="gramStart"/>
      <w:r w:rsidR="004D32C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务</w:t>
      </w:r>
      <w:proofErr w:type="gramEnd"/>
      <w:r w:rsidR="004D32C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集团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有限公司</w:t>
      </w:r>
      <w:r w:rsidR="00607C06">
        <w:rPr>
          <w:rFonts w:ascii="仿宋" w:eastAsia="仿宋" w:hAnsi="仿宋" w:hint="eastAsia"/>
          <w:sz w:val="32"/>
          <w:szCs w:val="32"/>
        </w:rPr>
        <w:t>供水管道工</w:t>
      </w:r>
      <w:proofErr w:type="gramStart"/>
      <w:r w:rsidR="00607C06">
        <w:rPr>
          <w:rFonts w:ascii="仿宋" w:eastAsia="仿宋" w:hAnsi="仿宋" w:hint="eastAsia"/>
          <w:sz w:val="32"/>
          <w:szCs w:val="32"/>
        </w:rPr>
        <w:t>程涉路</w:t>
      </w:r>
      <w:proofErr w:type="gramEnd"/>
      <w:r w:rsidR="00607C06">
        <w:rPr>
          <w:rFonts w:ascii="仿宋" w:eastAsia="仿宋" w:hAnsi="仿宋" w:hint="eastAsia"/>
          <w:sz w:val="32"/>
          <w:szCs w:val="32"/>
        </w:rPr>
        <w:t>（高速）</w:t>
      </w:r>
      <w:r w:rsidR="004D32CA">
        <w:rPr>
          <w:rFonts w:ascii="仿宋" w:eastAsia="仿宋" w:hAnsi="仿宋" w:hint="eastAsia"/>
          <w:sz w:val="32"/>
          <w:szCs w:val="32"/>
        </w:rPr>
        <w:t>项目</w:t>
      </w:r>
      <w:r w:rsidRPr="00C6078A">
        <w:rPr>
          <w:rFonts w:ascii="仿宋" w:eastAsia="仿宋" w:hAnsi="仿宋" w:hint="eastAsia"/>
          <w:sz w:val="32"/>
          <w:szCs w:val="32"/>
        </w:rPr>
        <w:t>采购项目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进行公开招标，已于2021年</w:t>
      </w:r>
      <w:r w:rsidR="004D32C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10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月</w:t>
      </w:r>
      <w:r w:rsidR="004D32C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28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日发布了招标公告，现发布第1次澄清公告。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一、原招标文件主要信息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1、项目名称：</w:t>
      </w:r>
      <w:r w:rsidR="00607C06">
        <w:rPr>
          <w:rFonts w:ascii="仿宋" w:eastAsia="仿宋" w:hAnsi="仿宋" w:hint="eastAsia"/>
          <w:sz w:val="32"/>
          <w:szCs w:val="32"/>
        </w:rPr>
        <w:t>供水管道工</w:t>
      </w:r>
      <w:proofErr w:type="gramStart"/>
      <w:r w:rsidR="00607C06">
        <w:rPr>
          <w:rFonts w:ascii="仿宋" w:eastAsia="仿宋" w:hAnsi="仿宋" w:hint="eastAsia"/>
          <w:sz w:val="32"/>
          <w:szCs w:val="32"/>
        </w:rPr>
        <w:t>程涉路</w:t>
      </w:r>
      <w:proofErr w:type="gramEnd"/>
      <w:r w:rsidR="00607C06">
        <w:rPr>
          <w:rFonts w:ascii="仿宋" w:eastAsia="仿宋" w:hAnsi="仿宋" w:hint="eastAsia"/>
          <w:sz w:val="32"/>
          <w:szCs w:val="32"/>
        </w:rPr>
        <w:t>（高速）项目</w:t>
      </w:r>
      <w:r w:rsidR="004D32CA" w:rsidRPr="004D32CA">
        <w:rPr>
          <w:rFonts w:ascii="仿宋" w:eastAsia="仿宋" w:hAnsi="仿宋" w:hint="eastAsia"/>
          <w:sz w:val="32"/>
          <w:szCs w:val="32"/>
        </w:rPr>
        <w:t xml:space="preserve">  </w:t>
      </w:r>
    </w:p>
    <w:p w:rsidR="00C6078A" w:rsidRPr="00C6078A" w:rsidRDefault="00C6078A" w:rsidP="00C6078A">
      <w:pPr>
        <w:snapToGrid w:val="0"/>
        <w:rPr>
          <w:rFonts w:ascii="仿宋" w:eastAsia="仿宋" w:hAnsi="仿宋"/>
          <w:bCs/>
          <w:sz w:val="32"/>
          <w:szCs w:val="32"/>
          <w:lang w:val="zh-CN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2、项目编号：</w:t>
      </w:r>
      <w:r w:rsidR="004D32CA" w:rsidRPr="004D32CA">
        <w:rPr>
          <w:rFonts w:ascii="仿宋" w:eastAsia="仿宋" w:hAnsi="仿宋"/>
          <w:bCs/>
          <w:sz w:val="32"/>
          <w:szCs w:val="32"/>
          <w:lang w:val="zh-CN"/>
        </w:rPr>
        <w:t>YXGYJT2021100</w:t>
      </w:r>
      <w:r w:rsidR="00607C06">
        <w:rPr>
          <w:rFonts w:ascii="仿宋" w:eastAsia="仿宋" w:hAnsi="仿宋" w:hint="eastAsia"/>
          <w:bCs/>
          <w:sz w:val="32"/>
          <w:szCs w:val="32"/>
          <w:lang w:val="zh-CN"/>
        </w:rPr>
        <w:t>01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3、公告日期：2021年</w:t>
      </w:r>
      <w:r w:rsidR="004D32C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4D32C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28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4、第一次更正公告日期：2021年</w:t>
      </w:r>
      <w:r w:rsidR="004D32C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11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607C06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5、公告媒体：宜兴市公用产业集团有限公司网站</w:t>
      </w:r>
    </w:p>
    <w:p w:rsid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二、澄清信息</w:t>
      </w:r>
    </w:p>
    <w:p w:rsidR="00607C06" w:rsidRDefault="00CE77B6" w:rsidP="00CE77B6">
      <w:pPr>
        <w:widowControl/>
        <w:shd w:val="clear" w:color="auto" w:fill="FFFFFF"/>
        <w:spacing w:line="401" w:lineRule="atLeast"/>
        <w:ind w:right="125"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因常州疫情原因，我市距离常州较近，考虑疫情防控要求，投标供应商可选择以下方式进行投标</w:t>
      </w:r>
      <w:r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：</w:t>
      </w:r>
    </w:p>
    <w:p w:rsidR="00607C06" w:rsidRPr="00607C06" w:rsidRDefault="00607C06" w:rsidP="00607C06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1、</w:t>
      </w:r>
      <w:r w:rsidRPr="00607C06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投标地点及开标地点：供应商须递交符合招标文件要求的电子标书，于开标前30分钟发送到指定邮箱，邮件主题、标题中需标明所投标段名称，由评委在开标时间截止后现场开启。（标书必须每页加盖单位公章并由法人签字）</w:t>
      </w:r>
    </w:p>
    <w:p w:rsidR="00607C06" w:rsidRDefault="00607C06" w:rsidP="00607C06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607C06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邮箱为：</w:t>
      </w:r>
      <w:hyperlink r:id="rId4" w:history="1">
        <w:r w:rsidRPr="00DF02B4">
          <w:rPr>
            <w:rStyle w:val="a3"/>
            <w:rFonts w:ascii="仿宋" w:eastAsia="仿宋" w:hAnsi="仿宋" w:cs="Tahoma" w:hint="eastAsia"/>
            <w:kern w:val="0"/>
            <w:sz w:val="32"/>
            <w:szCs w:val="32"/>
          </w:rPr>
          <w:t>yxgycyjtztb@126.com</w:t>
        </w:r>
      </w:hyperlink>
    </w:p>
    <w:p w:rsidR="00607C06" w:rsidRDefault="00607C06" w:rsidP="00607C06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2、</w:t>
      </w:r>
      <w:r w:rsidRPr="00607C06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有下列情形之一的投标文件将拒收</w:t>
      </w:r>
    </w:p>
    <w:p w:rsidR="00607C06" w:rsidRPr="00607C06" w:rsidRDefault="00607C06" w:rsidP="00607C06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2</w:t>
      </w:r>
      <w:r w:rsidRPr="00607C06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.1 在招标文件要求提交投标文件的截止时间之后送达的；</w:t>
      </w:r>
    </w:p>
    <w:p w:rsidR="00607C06" w:rsidRPr="00607C06" w:rsidRDefault="00607C06" w:rsidP="00607C06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lastRenderedPageBreak/>
        <w:t>2</w:t>
      </w:r>
      <w:r w:rsidRPr="00607C06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.2 未按照要求将电子标书每页加盖单位公章并由法人签字。</w:t>
      </w:r>
    </w:p>
    <w:p w:rsidR="00607C06" w:rsidRDefault="00607C06" w:rsidP="00607C06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2</w:t>
      </w:r>
      <w:r w:rsidRPr="00607C06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. 3发送的电子邮件标题未按规范注明投标标段</w:t>
      </w:r>
    </w:p>
    <w:p w:rsidR="00607C06" w:rsidRPr="00607C06" w:rsidRDefault="00607C06" w:rsidP="00607C06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3、原标书中资格审查要求中原件内容，均需提供彩色清晰扫描件证明，原件将在中标后视情况查看，若有造假，视为虚假响应。</w:t>
      </w:r>
    </w:p>
    <w:p w:rsidR="00C6078A" w:rsidRPr="00C6078A" w:rsidRDefault="00607C06" w:rsidP="00607C06">
      <w:pPr>
        <w:widowControl/>
        <w:shd w:val="clear" w:color="auto" w:fill="FFFFFF"/>
        <w:spacing w:line="401" w:lineRule="atLeast"/>
        <w:ind w:firstLineChars="200" w:firstLine="640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原开标时间不变，</w:t>
      </w:r>
      <w:r w:rsidR="00C6078A"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请各供应商自行下载此更正公告，如供应商未及时关注相关更正等信息公告，由此造成的一切损失由供应商自行承担。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三、本次澄清联系事项：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5"/>
      </w:tblGrid>
      <w:tr w:rsidR="00C6078A" w:rsidRPr="00C6078A" w:rsidTr="007915BC">
        <w:trPr>
          <w:trHeight w:val="82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6078A" w:rsidRPr="00C6078A" w:rsidRDefault="00C6078A" w:rsidP="007915BC">
            <w:pPr>
              <w:widowControl/>
              <w:spacing w:line="401" w:lineRule="atLeast"/>
              <w:ind w:right="125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采购人：宜兴</w:t>
            </w:r>
            <w:r w:rsidR="004D32C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水</w:t>
            </w:r>
            <w:proofErr w:type="gramStart"/>
            <w:r w:rsidR="004D32C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务</w:t>
            </w:r>
            <w:proofErr w:type="gramEnd"/>
            <w:r w:rsidR="004D32C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集团</w:t>
            </w: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有限公司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联系人：刘先生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联系电话：0510-80718885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联系地址：宜兴市环科园绿园路528号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邮政编码：214200</w:t>
            </w:r>
          </w:p>
        </w:tc>
      </w:tr>
    </w:tbl>
    <w:p w:rsidR="00C6078A" w:rsidRDefault="00C6078A" w:rsidP="00C6078A"/>
    <w:p w:rsidR="00C6078A" w:rsidRDefault="00C6078A" w:rsidP="00C6078A"/>
    <w:p w:rsidR="00F51F78" w:rsidRDefault="00F51F78"/>
    <w:sectPr w:rsidR="00F51F78" w:rsidSect="0052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78A"/>
    <w:rsid w:val="00170484"/>
    <w:rsid w:val="00242A93"/>
    <w:rsid w:val="002433CD"/>
    <w:rsid w:val="004D32CA"/>
    <w:rsid w:val="00572B5A"/>
    <w:rsid w:val="00607C06"/>
    <w:rsid w:val="00C6078A"/>
    <w:rsid w:val="00CE77B6"/>
    <w:rsid w:val="00DF15FA"/>
    <w:rsid w:val="00E63EA9"/>
    <w:rsid w:val="00F5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xgycyjtztb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2021-11-01T02:30:00Z</dcterms:created>
  <dcterms:modified xsi:type="dcterms:W3CDTF">2021-11-03T06:56:00Z</dcterms:modified>
</cp:coreProperties>
</file>