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rPr>
      </w:pPr>
      <w:r>
        <w:rPr>
          <w:rFonts w:ascii="宋体" w:hAnsi="宋体"/>
          <w:b/>
          <w:bCs/>
          <w:sz w:val="52"/>
        </w:rPr>
        <w:t>宜兴市公用燃气管理有限公司</w:t>
      </w:r>
      <w:r>
        <w:rPr>
          <w:rFonts w:hint="eastAsia" w:ascii="宋体" w:hAnsi="宋体"/>
          <w:b/>
          <w:bCs/>
          <w:sz w:val="52"/>
        </w:rPr>
        <w:t>储配站及供应点安全现状评价</w:t>
      </w:r>
    </w:p>
    <w:p>
      <w:pPr>
        <w:jc w:val="center"/>
        <w:rPr>
          <w:rFonts w:ascii="宋体" w:hAns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hAnsi="宋体"/>
          <w:b/>
          <w:bCs/>
          <w:sz w:val="84"/>
        </w:rPr>
      </w:pPr>
    </w:p>
    <w:p>
      <w:pPr>
        <w:ind w:firstLine="1920" w:firstLineChars="600"/>
        <w:jc w:val="left"/>
        <w:rPr>
          <w:rFonts w:ascii="宋体" w:hAnsi="宋体"/>
          <w:sz w:val="32"/>
        </w:rPr>
      </w:pPr>
      <w:r>
        <w:rPr>
          <w:rFonts w:hint="eastAsia" w:ascii="宋体" w:hAnsi="宋体"/>
          <w:sz w:val="32"/>
        </w:rPr>
        <w:t xml:space="preserve">项目编号：  </w:t>
      </w:r>
      <w:r>
        <w:rPr>
          <w:rFonts w:ascii="宋体" w:hAnsi="宋体"/>
          <w:sz w:val="32"/>
        </w:rPr>
        <w:t>YXGYJT202304013</w:t>
      </w:r>
    </w:p>
    <w:p>
      <w:pPr>
        <w:ind w:firstLine="1920" w:firstLineChars="600"/>
        <w:rPr>
          <w:rFonts w:ascii="宋体" w:hAnsi="宋体"/>
          <w:sz w:val="32"/>
        </w:rPr>
      </w:pPr>
      <w:r>
        <w:rPr>
          <w:rFonts w:hint="eastAsia" w:ascii="宋体" w:hAnsi="宋体"/>
          <w:sz w:val="32"/>
        </w:rPr>
        <w:t>采购人：宜兴市公用燃气管理有限公司</w:t>
      </w:r>
    </w:p>
    <w:p>
      <w:pPr>
        <w:jc w:val="center"/>
        <w:rPr>
          <w:rFonts w:ascii="宋体" w:hAnsi="宋体"/>
          <w:sz w:val="32"/>
        </w:rPr>
      </w:pPr>
      <w:r>
        <w:rPr>
          <w:rFonts w:hint="eastAsia" w:ascii="宋体" w:hAnsi="宋体"/>
          <w:sz w:val="32"/>
        </w:rPr>
        <w:t>2023年4月21日</w:t>
      </w:r>
    </w:p>
    <w:p/>
    <w:p>
      <w:pPr>
        <w:rPr>
          <w:rStyle w:val="28"/>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p>
    <w:p>
      <w:pPr>
        <w:rPr>
          <w:rStyle w:val="28"/>
          <w:rFonts w:eastAsia="黑体"/>
          <w:bCs/>
          <w:sz w:val="48"/>
        </w:rPr>
      </w:pPr>
    </w:p>
    <w:p>
      <w:pPr>
        <w:jc w:val="center"/>
        <w:rPr>
          <w:rStyle w:val="28"/>
          <w:rFonts w:eastAsia="黑体"/>
          <w:bCs/>
          <w:sz w:val="48"/>
        </w:rPr>
      </w:pPr>
      <w:r>
        <w:rPr>
          <w:rStyle w:val="28"/>
          <w:rFonts w:hint="eastAsia" w:eastAsia="黑体"/>
          <w:bCs/>
          <w:sz w:val="48"/>
        </w:rPr>
        <w:t>目录</w:t>
      </w:r>
    </w:p>
    <w:p>
      <w:pPr>
        <w:jc w:val="center"/>
        <w:rPr>
          <w:rFonts w:ascii="黑体" w:eastAsia="黑体"/>
          <w:bCs/>
          <w:sz w:val="30"/>
        </w:rPr>
      </w:pPr>
    </w:p>
    <w:p>
      <w:pPr>
        <w:jc w:val="center"/>
        <w:rPr>
          <w:rFonts w:ascii="黑体" w:eastAsia="黑体"/>
          <w:bCs/>
          <w:sz w:val="44"/>
        </w:rPr>
      </w:pPr>
    </w:p>
    <w:p>
      <w:pPr>
        <w:pStyle w:val="19"/>
        <w:tabs>
          <w:tab w:val="right" w:leader="dot" w:pos="9629"/>
        </w:tabs>
        <w:rPr>
          <w:rFonts w:asciiTheme="minorHAnsi" w:hAnsiTheme="minorHAnsi" w:eastAsiaTheme="minorEastAsia" w:cstheme="minorBidi"/>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r>
        <w:fldChar w:fldCharType="begin"/>
      </w:r>
      <w:r>
        <w:instrText xml:space="preserve"> HYPERLINK \l "_Toc130196228" </w:instrText>
      </w:r>
      <w:r>
        <w:fldChar w:fldCharType="separate"/>
      </w:r>
      <w:r>
        <w:rPr>
          <w:rStyle w:val="29"/>
          <w:rFonts w:hint="eastAsia" w:ascii="黑体" w:hAnsi="黑体" w:eastAsia="黑体"/>
          <w:sz w:val="32"/>
          <w:szCs w:val="32"/>
        </w:rPr>
        <w:t>第一章</w:t>
      </w:r>
      <w:r>
        <w:rPr>
          <w:rStyle w:val="29"/>
          <w:rFonts w:ascii="黑体" w:hAnsi="黑体" w:eastAsia="黑体"/>
          <w:sz w:val="32"/>
          <w:szCs w:val="32"/>
        </w:rPr>
        <w:t xml:space="preserve"> </w:t>
      </w:r>
      <w:r>
        <w:rPr>
          <w:rStyle w:val="29"/>
          <w:rFonts w:hint="eastAsia" w:ascii="黑体" w:hAnsi="黑体" w:eastAsia="黑体"/>
          <w:sz w:val="32"/>
          <w:szCs w:val="32"/>
        </w:rPr>
        <w:t>投标邀请函</w:t>
      </w:r>
      <w:r>
        <w:rPr>
          <w:sz w:val="32"/>
          <w:szCs w:val="32"/>
        </w:rPr>
        <w:tab/>
      </w:r>
      <w:r>
        <w:rPr>
          <w:sz w:val="32"/>
          <w:szCs w:val="32"/>
        </w:rPr>
        <w:fldChar w:fldCharType="begin"/>
      </w:r>
      <w:r>
        <w:rPr>
          <w:sz w:val="32"/>
          <w:szCs w:val="32"/>
        </w:rPr>
        <w:instrText xml:space="preserve"> PAGEREF _Toc130196228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9"/>
        <w:tabs>
          <w:tab w:val="right" w:leader="dot" w:pos="9629"/>
        </w:tabs>
        <w:rPr>
          <w:rFonts w:asciiTheme="minorHAnsi" w:hAnsiTheme="minorHAnsi" w:eastAsiaTheme="minorEastAsia" w:cstheme="minorBidi"/>
          <w:sz w:val="32"/>
          <w:szCs w:val="32"/>
        </w:rPr>
      </w:pPr>
      <w:r>
        <w:fldChar w:fldCharType="begin"/>
      </w:r>
      <w:r>
        <w:instrText xml:space="preserve"> HYPERLINK \l "_Toc130196229" </w:instrText>
      </w:r>
      <w:r>
        <w:fldChar w:fldCharType="separate"/>
      </w:r>
      <w:r>
        <w:rPr>
          <w:rStyle w:val="29"/>
          <w:rFonts w:hint="eastAsia" w:ascii="黑体" w:hAnsi="黑体" w:eastAsia="黑体"/>
          <w:sz w:val="32"/>
          <w:szCs w:val="32"/>
        </w:rPr>
        <w:t>第二章</w:t>
      </w:r>
      <w:r>
        <w:rPr>
          <w:rStyle w:val="29"/>
          <w:rFonts w:ascii="黑体" w:hAnsi="黑体" w:eastAsia="黑体"/>
          <w:sz w:val="32"/>
          <w:szCs w:val="32"/>
        </w:rPr>
        <w:t xml:space="preserve"> </w:t>
      </w:r>
      <w:r>
        <w:rPr>
          <w:rStyle w:val="29"/>
          <w:rFonts w:hint="eastAsia" w:ascii="黑体" w:hAnsi="黑体" w:eastAsia="黑体"/>
          <w:sz w:val="32"/>
          <w:szCs w:val="32"/>
        </w:rPr>
        <w:t>投标人须知</w:t>
      </w:r>
      <w:r>
        <w:rPr>
          <w:sz w:val="32"/>
          <w:szCs w:val="32"/>
        </w:rPr>
        <w:tab/>
      </w:r>
      <w:r>
        <w:rPr>
          <w:sz w:val="32"/>
          <w:szCs w:val="32"/>
        </w:rPr>
        <w:fldChar w:fldCharType="begin"/>
      </w:r>
      <w:r>
        <w:rPr>
          <w:sz w:val="32"/>
          <w:szCs w:val="32"/>
        </w:rPr>
        <w:instrText xml:space="preserve"> PAGEREF _Toc130196229 \h </w:instrText>
      </w:r>
      <w:r>
        <w:rPr>
          <w:sz w:val="32"/>
          <w:szCs w:val="32"/>
        </w:rPr>
        <w:fldChar w:fldCharType="separate"/>
      </w:r>
      <w:r>
        <w:rPr>
          <w:rFonts w:hint="eastAsia"/>
          <w:b/>
          <w:bCs/>
          <w:sz w:val="32"/>
          <w:szCs w:val="32"/>
        </w:rPr>
        <w:t>错误！未定义书签。</w:t>
      </w:r>
      <w:r>
        <w:rPr>
          <w:sz w:val="32"/>
          <w:szCs w:val="32"/>
        </w:rPr>
        <w:fldChar w:fldCharType="end"/>
      </w:r>
      <w:r>
        <w:rPr>
          <w:sz w:val="32"/>
          <w:szCs w:val="32"/>
        </w:rPr>
        <w:fldChar w:fldCharType="end"/>
      </w:r>
    </w:p>
    <w:p>
      <w:pPr>
        <w:pStyle w:val="19"/>
        <w:tabs>
          <w:tab w:val="right" w:leader="dot" w:pos="9629"/>
        </w:tabs>
        <w:rPr>
          <w:rFonts w:asciiTheme="minorHAnsi" w:hAnsiTheme="minorHAnsi" w:eastAsiaTheme="minorEastAsia" w:cstheme="minorBidi"/>
          <w:sz w:val="32"/>
          <w:szCs w:val="32"/>
        </w:rPr>
      </w:pPr>
      <w:r>
        <w:fldChar w:fldCharType="begin"/>
      </w:r>
      <w:r>
        <w:instrText xml:space="preserve"> HYPERLINK \l "_Toc130196230" </w:instrText>
      </w:r>
      <w:r>
        <w:fldChar w:fldCharType="separate"/>
      </w:r>
      <w:r>
        <w:rPr>
          <w:rStyle w:val="29"/>
          <w:rFonts w:hint="eastAsia" w:ascii="黑体" w:hAnsi="黑体" w:eastAsia="黑体"/>
          <w:sz w:val="32"/>
          <w:szCs w:val="32"/>
        </w:rPr>
        <w:t>第四章</w:t>
      </w:r>
      <w:r>
        <w:rPr>
          <w:rStyle w:val="29"/>
          <w:rFonts w:ascii="黑体" w:hAnsi="黑体" w:eastAsia="黑体"/>
          <w:sz w:val="32"/>
          <w:szCs w:val="32"/>
        </w:rPr>
        <w:t xml:space="preserve"> </w:t>
      </w:r>
      <w:r>
        <w:rPr>
          <w:rStyle w:val="29"/>
          <w:rFonts w:hint="eastAsia" w:ascii="黑体" w:hAnsi="黑体" w:eastAsia="黑体"/>
          <w:sz w:val="32"/>
          <w:szCs w:val="32"/>
        </w:rPr>
        <w:t>合同书（格式文本）</w:t>
      </w:r>
      <w:r>
        <w:rPr>
          <w:sz w:val="32"/>
          <w:szCs w:val="32"/>
        </w:rPr>
        <w:tab/>
      </w:r>
      <w:r>
        <w:rPr>
          <w:sz w:val="32"/>
          <w:szCs w:val="32"/>
        </w:rPr>
        <w:fldChar w:fldCharType="begin"/>
      </w:r>
      <w:r>
        <w:rPr>
          <w:sz w:val="32"/>
          <w:szCs w:val="32"/>
        </w:rPr>
        <w:instrText xml:space="preserve"> PAGEREF _Toc130196230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9"/>
        <w:tabs>
          <w:tab w:val="right" w:leader="dot" w:pos="9629"/>
        </w:tabs>
        <w:rPr>
          <w:rFonts w:asciiTheme="minorHAnsi" w:hAnsiTheme="minorHAnsi" w:eastAsiaTheme="minorEastAsia" w:cstheme="minorBidi"/>
          <w:sz w:val="32"/>
          <w:szCs w:val="32"/>
        </w:rPr>
      </w:pPr>
      <w:r>
        <w:fldChar w:fldCharType="begin"/>
      </w:r>
      <w:r>
        <w:instrText xml:space="preserve"> HYPERLINK \l "_Toc130196231" </w:instrText>
      </w:r>
      <w:r>
        <w:fldChar w:fldCharType="separate"/>
      </w:r>
      <w:r>
        <w:rPr>
          <w:rStyle w:val="29"/>
          <w:rFonts w:hint="eastAsia" w:ascii="黑体" w:hAnsi="黑体" w:eastAsia="黑体"/>
          <w:sz w:val="32"/>
          <w:szCs w:val="32"/>
        </w:rPr>
        <w:t>第五章</w:t>
      </w:r>
      <w:r>
        <w:rPr>
          <w:rStyle w:val="29"/>
          <w:rFonts w:ascii="黑体" w:hAnsi="黑体" w:eastAsia="黑体"/>
          <w:sz w:val="32"/>
          <w:szCs w:val="32"/>
        </w:rPr>
        <w:t xml:space="preserve"> </w:t>
      </w:r>
      <w:r>
        <w:rPr>
          <w:rStyle w:val="29"/>
          <w:rFonts w:hint="eastAsia" w:ascii="黑体" w:hAnsi="黑体" w:eastAsia="黑体"/>
          <w:sz w:val="32"/>
          <w:szCs w:val="32"/>
        </w:rPr>
        <w:t>合同条款</w:t>
      </w:r>
      <w:r>
        <w:rPr>
          <w:sz w:val="32"/>
          <w:szCs w:val="32"/>
        </w:rPr>
        <w:tab/>
      </w:r>
      <w:r>
        <w:rPr>
          <w:sz w:val="32"/>
          <w:szCs w:val="32"/>
        </w:rPr>
        <w:fldChar w:fldCharType="begin"/>
      </w:r>
      <w:r>
        <w:rPr>
          <w:sz w:val="32"/>
          <w:szCs w:val="32"/>
        </w:rPr>
        <w:instrText xml:space="preserve"> PAGEREF _Toc130196231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9"/>
        <w:tabs>
          <w:tab w:val="right" w:leader="dot" w:pos="9629"/>
        </w:tabs>
        <w:rPr>
          <w:rFonts w:asciiTheme="minorHAnsi" w:hAnsiTheme="minorHAnsi" w:eastAsiaTheme="minorEastAsia" w:cstheme="minorBidi"/>
          <w:sz w:val="32"/>
          <w:szCs w:val="32"/>
        </w:rPr>
      </w:pPr>
      <w:r>
        <w:fldChar w:fldCharType="begin"/>
      </w:r>
      <w:r>
        <w:instrText xml:space="preserve"> HYPERLINK \l "_Toc130196232" </w:instrText>
      </w:r>
      <w:r>
        <w:fldChar w:fldCharType="separate"/>
      </w:r>
      <w:r>
        <w:rPr>
          <w:rStyle w:val="29"/>
          <w:rFonts w:hint="eastAsia" w:ascii="黑体" w:hAnsi="黑体" w:eastAsia="黑体"/>
          <w:sz w:val="32"/>
          <w:szCs w:val="32"/>
        </w:rPr>
        <w:t>第六章</w:t>
      </w:r>
      <w:r>
        <w:rPr>
          <w:rStyle w:val="29"/>
          <w:rFonts w:ascii="黑体" w:hAnsi="黑体" w:eastAsia="黑体"/>
          <w:sz w:val="32"/>
          <w:szCs w:val="32"/>
        </w:rPr>
        <w:t xml:space="preserve"> </w:t>
      </w:r>
      <w:r>
        <w:rPr>
          <w:rStyle w:val="29"/>
          <w:rFonts w:hint="eastAsia" w:ascii="黑体" w:hAnsi="黑体" w:eastAsia="黑体"/>
          <w:sz w:val="32"/>
          <w:szCs w:val="32"/>
        </w:rPr>
        <w:t>投标文件（格式）</w:t>
      </w:r>
      <w:r>
        <w:rPr>
          <w:sz w:val="32"/>
          <w:szCs w:val="32"/>
        </w:rPr>
        <w:tab/>
      </w:r>
      <w:r>
        <w:rPr>
          <w:sz w:val="32"/>
          <w:szCs w:val="32"/>
        </w:rPr>
        <w:fldChar w:fldCharType="begin"/>
      </w:r>
      <w:r>
        <w:rPr>
          <w:sz w:val="32"/>
          <w:szCs w:val="32"/>
        </w:rPr>
        <w:instrText xml:space="preserve"> PAGEREF _Toc130196232 \h </w:instrText>
      </w:r>
      <w:r>
        <w:rPr>
          <w:sz w:val="32"/>
          <w:szCs w:val="32"/>
        </w:rPr>
        <w:fldChar w:fldCharType="separate"/>
      </w:r>
      <w:r>
        <w:rPr>
          <w:sz w:val="32"/>
          <w:szCs w:val="32"/>
        </w:rPr>
        <w:t>21</w:t>
      </w:r>
      <w:r>
        <w:rPr>
          <w:sz w:val="32"/>
          <w:szCs w:val="32"/>
        </w:rPr>
        <w:fldChar w:fldCharType="end"/>
      </w:r>
      <w:r>
        <w:rPr>
          <w:sz w:val="32"/>
          <w:szCs w:val="32"/>
        </w:rPr>
        <w:fldChar w:fldCharType="end"/>
      </w:r>
    </w:p>
    <w:p>
      <w:pPr>
        <w:spacing w:line="360" w:lineRule="auto"/>
        <w:rPr>
          <w:rFonts w:ascii="黑体" w:hAnsi="黑体" w:eastAsia="黑体"/>
          <w:sz w:val="32"/>
          <w:szCs w:val="32"/>
        </w:rPr>
      </w:pPr>
      <w:r>
        <w:rPr>
          <w:rFonts w:hint="eastAsia" w:ascii="黑体" w:hAnsi="黑体" w:eastAsia="黑体" w:cs="黑体"/>
          <w:sz w:val="32"/>
          <w:szCs w:val="32"/>
        </w:rPr>
        <w:fldChar w:fldCharType="end"/>
      </w:r>
      <w:bookmarkStart w:id="0" w:name="_Toc30211"/>
    </w:p>
    <w:p>
      <w:pPr>
        <w:jc w:val="center"/>
        <w:outlineLvl w:val="0"/>
        <w:rPr>
          <w:rFonts w:ascii="黑体" w:hAnsi="黑体" w:eastAsia="黑体"/>
          <w:sz w:val="28"/>
        </w:rPr>
        <w:sectPr>
          <w:footerReference r:id="rId7" w:type="first"/>
          <w:headerReference r:id="rId5" w:type="default"/>
          <w:footerReference r:id="rId6" w:type="default"/>
          <w:pgSz w:w="11907" w:h="16840"/>
          <w:pgMar w:top="1134" w:right="1134" w:bottom="1134" w:left="1134" w:header="851" w:footer="850" w:gutter="0"/>
          <w:cols w:space="720" w:num="1"/>
          <w:titlePg/>
          <w:docGrid w:linePitch="462" w:charSpace="0"/>
        </w:sectPr>
      </w:pPr>
    </w:p>
    <w:p>
      <w:pPr>
        <w:jc w:val="center"/>
        <w:outlineLvl w:val="0"/>
        <w:rPr>
          <w:rFonts w:ascii="黑体" w:hAnsi="黑体" w:eastAsia="黑体"/>
          <w:sz w:val="28"/>
        </w:rPr>
      </w:pPr>
      <w:bookmarkStart w:id="1" w:name="_Toc130196228"/>
      <w:r>
        <w:rPr>
          <w:rFonts w:hint="eastAsia" w:ascii="黑体" w:hAnsi="黑体" w:eastAsia="黑体"/>
          <w:sz w:val="28"/>
        </w:rPr>
        <w:t>第一章 投标邀请函</w:t>
      </w:r>
      <w:bookmarkEnd w:id="0"/>
      <w:bookmarkEnd w:id="1"/>
    </w:p>
    <w:p>
      <w:pPr>
        <w:spacing w:line="360" w:lineRule="auto"/>
        <w:ind w:firstLine="480" w:firstLineChars="200"/>
        <w:rPr>
          <w:rFonts w:ascii="宋体" w:hAnsi="宋体"/>
          <w:bCs/>
          <w:sz w:val="24"/>
          <w:szCs w:val="24"/>
        </w:rPr>
      </w:pPr>
      <w:r>
        <w:rPr>
          <w:rFonts w:hint="eastAsia" w:ascii="宋体" w:hAnsi="宋体"/>
          <w:bCs/>
          <w:sz w:val="24"/>
          <w:szCs w:val="24"/>
        </w:rPr>
        <w:t>宜兴市公用燃气管理有限公司就储配站及供应点安全现状评价组织采购</w:t>
      </w:r>
      <w:r>
        <w:rPr>
          <w:rFonts w:hint="eastAsia" w:ascii="宋体" w:hAnsi="宋体"/>
          <w:sz w:val="24"/>
          <w:szCs w:val="28"/>
        </w:rPr>
        <w:t>，</w:t>
      </w:r>
      <w:r>
        <w:rPr>
          <w:rFonts w:hint="eastAsia" w:ascii="宋体" w:hAnsi="宋体"/>
          <w:bCs/>
          <w:sz w:val="24"/>
          <w:szCs w:val="24"/>
        </w:rPr>
        <w:t>欢迎你单位参加投标并提请注意下列附表中的相关事项：</w:t>
      </w:r>
    </w:p>
    <w:tbl>
      <w:tblPr>
        <w:tblStyle w:val="24"/>
        <w:tblW w:w="98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jc w:val="center"/>
              <w:rPr>
                <w:rFonts w:ascii="宋体" w:hAnsi="宋体"/>
                <w:bCs/>
                <w:sz w:val="24"/>
                <w:szCs w:val="24"/>
              </w:rPr>
            </w:pPr>
            <w:bookmarkStart w:id="2" w:name="_Toc29543"/>
            <w:r>
              <w:rPr>
                <w:rFonts w:hint="eastAsia" w:ascii="宋体" w:hAnsi="宋体"/>
                <w:bCs/>
                <w:sz w:val="24"/>
                <w:szCs w:val="24"/>
              </w:rPr>
              <w:t>序号</w:t>
            </w:r>
          </w:p>
        </w:tc>
        <w:tc>
          <w:tcPr>
            <w:tcW w:w="9135" w:type="dxa"/>
          </w:tcPr>
          <w:p>
            <w:pPr>
              <w:jc w:val="center"/>
              <w:rPr>
                <w:rFonts w:ascii="宋体" w:hAnsi="宋体"/>
                <w:bCs/>
                <w:sz w:val="24"/>
                <w:szCs w:val="24"/>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宋体" w:hAnsi="宋体"/>
                <w:bCs/>
                <w:sz w:val="24"/>
                <w:szCs w:val="24"/>
              </w:rPr>
            </w:pPr>
            <w:r>
              <w:rPr>
                <w:rFonts w:ascii="宋体" w:hAnsi="宋体"/>
                <w:bCs/>
                <w:sz w:val="24"/>
                <w:szCs w:val="24"/>
              </w:rPr>
              <w:t>1</w:t>
            </w:r>
          </w:p>
        </w:tc>
        <w:tc>
          <w:tcPr>
            <w:tcW w:w="9135" w:type="dxa"/>
          </w:tcPr>
          <w:p>
            <w:pPr>
              <w:jc w:val="left"/>
              <w:rPr>
                <w:rFonts w:ascii="宋体" w:hAnsi="宋体"/>
                <w:bCs/>
                <w:sz w:val="24"/>
                <w:szCs w:val="24"/>
              </w:rPr>
            </w:pPr>
            <w:r>
              <w:rPr>
                <w:rFonts w:hint="eastAsia" w:ascii="宋体" w:hAnsi="宋体"/>
                <w:bCs/>
                <w:sz w:val="24"/>
                <w:szCs w:val="24"/>
              </w:rPr>
              <w:t>采购人：宜兴市公用燃气管理有限公司</w:t>
            </w:r>
          </w:p>
          <w:p>
            <w:pPr>
              <w:jc w:val="left"/>
              <w:rPr>
                <w:rFonts w:ascii="宋体" w:hAnsi="宋体"/>
                <w:bCs/>
                <w:sz w:val="24"/>
                <w:szCs w:val="24"/>
              </w:rPr>
            </w:pPr>
            <w:r>
              <w:rPr>
                <w:rFonts w:hint="eastAsia" w:ascii="宋体" w:hAnsi="宋体"/>
                <w:bCs/>
                <w:sz w:val="24"/>
                <w:szCs w:val="24"/>
              </w:rPr>
              <w:t>项目名称：储配站及供应点安全现状评价</w:t>
            </w:r>
          </w:p>
          <w:p>
            <w:pPr>
              <w:jc w:val="left"/>
              <w:rPr>
                <w:rFonts w:ascii="宋体" w:hAnsi="宋体"/>
                <w:bCs/>
                <w:sz w:val="24"/>
                <w:szCs w:val="24"/>
              </w:rPr>
            </w:pPr>
            <w:r>
              <w:rPr>
                <w:rFonts w:hint="eastAsia" w:ascii="宋体" w:hAnsi="宋体"/>
                <w:bCs/>
                <w:sz w:val="24"/>
                <w:szCs w:val="24"/>
              </w:rPr>
              <w:t>项目编号：</w:t>
            </w:r>
            <w:r>
              <w:rPr>
                <w:rFonts w:ascii="宋体" w:hAnsi="宋体"/>
                <w:bCs/>
                <w:sz w:val="24"/>
                <w:szCs w:val="24"/>
              </w:rPr>
              <w:t>YXGYJT202304013</w:t>
            </w:r>
          </w:p>
          <w:p>
            <w:pPr>
              <w:jc w:val="left"/>
              <w:rPr>
                <w:rFonts w:ascii="宋体" w:hAnsi="宋体"/>
                <w:bCs/>
                <w:sz w:val="24"/>
                <w:szCs w:val="24"/>
              </w:rPr>
            </w:pPr>
            <w:r>
              <w:rPr>
                <w:rFonts w:hint="eastAsia" w:ascii="宋体" w:hAnsi="宋体"/>
                <w:bCs/>
                <w:sz w:val="24"/>
                <w:szCs w:val="24"/>
              </w:rPr>
              <w:t>评标方法：最低评标价法（集团网站公开招标）</w:t>
            </w:r>
          </w:p>
          <w:p>
            <w:pPr>
              <w:jc w:val="left"/>
              <w:rPr>
                <w:rFonts w:ascii="宋体" w:hAnsi="宋体" w:eastAsia="宋体" w:cs="Times New Roman"/>
                <w:bCs/>
                <w:sz w:val="24"/>
                <w:szCs w:val="24"/>
              </w:rPr>
            </w:pPr>
            <w:bookmarkStart w:id="3" w:name="OLE_LINK3"/>
            <w:r>
              <w:rPr>
                <w:rFonts w:hint="eastAsia" w:ascii="宋体" w:hAnsi="宋体"/>
                <w:bCs/>
                <w:sz w:val="24"/>
                <w:szCs w:val="24"/>
                <w:highlight w:val="green"/>
              </w:rPr>
              <w:t>本项目预算及最高限价为</w:t>
            </w:r>
            <w:bookmarkEnd w:id="3"/>
            <w:r>
              <w:rPr>
                <w:rFonts w:hint="eastAsia" w:ascii="宋体" w:hAnsi="宋体"/>
                <w:bCs/>
                <w:sz w:val="24"/>
                <w:szCs w:val="24"/>
                <w:highlight w:val="green"/>
              </w:rPr>
              <w:t>：208000元，投标人所报单价不超过单价限价，具体详见第三章项目技术要求和有关说明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jc w:val="center"/>
              <w:rPr>
                <w:rFonts w:ascii="宋体" w:hAnsi="宋体"/>
                <w:bCs/>
                <w:sz w:val="24"/>
                <w:szCs w:val="24"/>
              </w:rPr>
            </w:pPr>
            <w:r>
              <w:rPr>
                <w:rFonts w:ascii="宋体" w:hAnsi="宋体"/>
                <w:bCs/>
                <w:sz w:val="24"/>
                <w:szCs w:val="24"/>
              </w:rPr>
              <w:t>2</w:t>
            </w:r>
          </w:p>
        </w:tc>
        <w:tc>
          <w:tcPr>
            <w:tcW w:w="9135" w:type="dxa"/>
          </w:tcPr>
          <w:p>
            <w:pPr>
              <w:pStyle w:val="52"/>
              <w:spacing w:line="276" w:lineRule="auto"/>
            </w:pPr>
            <w:r>
              <w:rPr>
                <w:rFonts w:hint="eastAsia"/>
              </w:rPr>
              <w:t>2.1投标人参加本次采购活动</w:t>
            </w:r>
            <w:r>
              <w:rPr>
                <w:rFonts w:hint="eastAsia"/>
                <w:lang w:val="zh-CN"/>
              </w:rPr>
              <w:t>应具备下列资格条件：</w:t>
            </w:r>
          </w:p>
          <w:p>
            <w:pPr>
              <w:pStyle w:val="52"/>
              <w:spacing w:line="276" w:lineRule="auto"/>
            </w:pPr>
            <w:r>
              <w:rPr>
                <w:rFonts w:hint="eastAsia"/>
              </w:rPr>
              <w:t>①具有独立承担民事责任的能力</w:t>
            </w:r>
          </w:p>
          <w:p>
            <w:pPr>
              <w:pStyle w:val="52"/>
              <w:spacing w:line="276" w:lineRule="auto"/>
            </w:pPr>
            <w:r>
              <w:rPr>
                <w:rFonts w:hint="eastAsia"/>
              </w:rPr>
              <w:t>②有依法缴纳税收和社会保障资金的良好记录；</w:t>
            </w:r>
          </w:p>
          <w:p>
            <w:pPr>
              <w:pStyle w:val="52"/>
              <w:spacing w:line="276" w:lineRule="auto"/>
            </w:pPr>
            <w:r>
              <w:rPr>
                <w:rFonts w:hint="eastAsia"/>
              </w:rPr>
              <w:t>③具有履行合同所必需的设备和专业能力；</w:t>
            </w:r>
          </w:p>
          <w:p>
            <w:pPr>
              <w:pStyle w:val="52"/>
              <w:spacing w:line="276" w:lineRule="auto"/>
            </w:pPr>
            <w:r>
              <w:rPr>
                <w:rFonts w:hint="eastAsia"/>
              </w:rPr>
              <w:t>④不接受联合体，不接受中标后分包；</w:t>
            </w:r>
          </w:p>
          <w:p>
            <w:pPr>
              <w:pStyle w:val="52"/>
              <w:spacing w:line="276" w:lineRule="auto"/>
            </w:pPr>
            <w:r>
              <w:rPr>
                <w:rFonts w:hint="eastAsia"/>
              </w:rPr>
              <w:t>⑤良好的信用记录：投标截止时间之前，未被“信用中国”网站列入失信执行人、</w:t>
            </w:r>
            <w:r>
              <w:rPr>
                <w:rFonts w:hint="eastAsia"/>
                <w:lang w:val="zh-CN"/>
              </w:rPr>
              <w:t>税收违法黑名单、政府采购严重违法失信行为记录名单</w:t>
            </w:r>
            <w:r>
              <w:rPr>
                <w:rFonts w:hint="eastAsia"/>
              </w:rPr>
              <w:t>，未被“中国政府采购网”网站列入政府采购严重违法失信行为记录名单；</w:t>
            </w:r>
          </w:p>
          <w:p>
            <w:r>
              <w:rPr>
                <w:rFonts w:hint="eastAsia" w:ascii="宋体" w:hAnsi="Times New Roman" w:eastAsia="宋体" w:cs="Times New Roman"/>
                <w:kern w:val="0"/>
                <w:sz w:val="24"/>
                <w:szCs w:val="20"/>
                <w:u w:color="000000"/>
              </w:rPr>
              <w:t>⑥投标商需具备《安全评价机构资质证书》。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735" w:type="dxa"/>
            <w:vMerge w:val="continue"/>
            <w:vAlign w:val="center"/>
          </w:tcPr>
          <w:p>
            <w:pPr>
              <w:spacing w:line="240" w:lineRule="atLeast"/>
            </w:pPr>
          </w:p>
        </w:tc>
        <w:tc>
          <w:tcPr>
            <w:tcW w:w="9135" w:type="dxa"/>
          </w:tcPr>
          <w:p>
            <w:pPr>
              <w:pStyle w:val="52"/>
              <w:spacing w:line="276" w:lineRule="auto"/>
              <w:rPr>
                <w:lang w:val="zh-CN"/>
              </w:rPr>
            </w:pPr>
            <w:r>
              <w:rPr>
                <w:rFonts w:hint="eastAsia"/>
                <w:lang w:val="zh-CN"/>
              </w:rPr>
              <w:t>2.</w:t>
            </w:r>
            <w:r>
              <w:rPr>
                <w:rFonts w:hint="eastAsia"/>
              </w:rPr>
              <w:t>2</w:t>
            </w:r>
            <w:r>
              <w:rPr>
                <w:rFonts w:hint="eastAsia"/>
                <w:lang w:val="zh-CN"/>
              </w:rPr>
              <w:t>拒绝下述供应商参加本次采购活动：</w:t>
            </w:r>
          </w:p>
          <w:p>
            <w:pPr>
              <w:autoSpaceDE w:val="0"/>
              <w:autoSpaceDN w:val="0"/>
              <w:adjustRightInd w:val="0"/>
              <w:rPr>
                <w:rFonts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pPr>
              <w:pStyle w:val="52"/>
              <w:spacing w:line="276" w:lineRule="auto"/>
              <w:rPr>
                <w:lang w:val="zh-CN"/>
              </w:rPr>
            </w:pPr>
            <w:r>
              <w:rPr>
                <w:rFonts w:hint="eastAsia" w:hAnsi="宋体" w:cs="宋体"/>
                <w:bCs/>
                <w:szCs w:val="21"/>
              </w:rPr>
              <w:t>②</w:t>
            </w:r>
            <w:r>
              <w:rPr>
                <w:rFonts w:hint="eastAsia" w:hAnsi="宋体"/>
                <w:bCs/>
                <w:szCs w:val="21"/>
              </w:rPr>
              <w:t>凡</w:t>
            </w:r>
            <w:r>
              <w:rPr>
                <w:rFonts w:hAnsi="宋体"/>
                <w:bCs/>
                <w:szCs w:val="21"/>
              </w:rPr>
              <w:t>为采购项目提供整体设计、规范编制或者项目管理、监理、检测等服务的供应商，不得再参加</w:t>
            </w:r>
            <w:r>
              <w:rPr>
                <w:rFonts w:hint="eastAsia" w:hAnsi="宋体"/>
                <w:bCs/>
                <w:szCs w:val="21"/>
              </w:rPr>
              <w:t>本</w:t>
            </w:r>
            <w:r>
              <w:rPr>
                <w:rFonts w:hAnsi="宋体"/>
                <w:bCs/>
                <w:szCs w:val="21"/>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宋体" w:hAnsi="宋体"/>
                <w:bCs/>
                <w:sz w:val="24"/>
                <w:szCs w:val="24"/>
              </w:rPr>
            </w:pPr>
            <w:r>
              <w:rPr>
                <w:rFonts w:hint="eastAsia" w:ascii="宋体" w:hAnsi="宋体"/>
                <w:bCs/>
                <w:sz w:val="24"/>
                <w:szCs w:val="24"/>
              </w:rPr>
              <w:t>3</w:t>
            </w:r>
          </w:p>
        </w:tc>
        <w:tc>
          <w:tcPr>
            <w:tcW w:w="9135" w:type="dxa"/>
          </w:tcPr>
          <w:p>
            <w:pPr>
              <w:pStyle w:val="52"/>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宋体" w:hAnsi="宋体"/>
                <w:bCs/>
                <w:sz w:val="24"/>
                <w:szCs w:val="24"/>
              </w:rPr>
            </w:pPr>
            <w:r>
              <w:rPr>
                <w:rFonts w:hint="eastAsia" w:ascii="宋体" w:hAnsi="宋体"/>
                <w:bCs/>
                <w:sz w:val="24"/>
                <w:szCs w:val="24"/>
              </w:rPr>
              <w:t>4</w:t>
            </w:r>
          </w:p>
        </w:tc>
        <w:tc>
          <w:tcPr>
            <w:tcW w:w="9135" w:type="dxa"/>
          </w:tcPr>
          <w:p>
            <w:pPr>
              <w:pStyle w:val="52"/>
              <w:rPr>
                <w:rFonts w:hAnsi="宋体"/>
                <w:bCs/>
                <w:kern w:val="2"/>
                <w:szCs w:val="24"/>
              </w:rPr>
            </w:pPr>
            <w:bookmarkStart w:id="4" w:name="OLE_LINK49"/>
            <w:bookmarkStart w:id="5" w:name="OLE_LINK138"/>
            <w:r>
              <w:rPr>
                <w:rFonts w:hint="eastAsia"/>
              </w:rPr>
              <w:t>采购人根据项目的实际情况，要求投标人在投标前须交纳投标保证金人民币</w:t>
            </w:r>
            <w:r>
              <w:rPr>
                <w:rFonts w:hint="eastAsia"/>
                <w:u w:val="single"/>
              </w:rPr>
              <w:t xml:space="preserve"> 叁仟</w:t>
            </w:r>
            <w:r>
              <w:rPr>
                <w:rFonts w:hint="eastAsia"/>
                <w:b/>
                <w:bCs/>
                <w:u w:val="single"/>
              </w:rPr>
              <w:t>元</w:t>
            </w:r>
            <w:bookmarkEnd w:id="4"/>
            <w:r>
              <w:rPr>
                <w:rFonts w:hint="eastAsia"/>
                <w:b/>
                <w:bCs/>
                <w:u w:val="single"/>
              </w:rPr>
              <w:t>整</w:t>
            </w:r>
            <w:r>
              <w:rPr>
                <w:rFonts w:hint="eastAsia"/>
              </w:rPr>
              <w:t>交纳投标保证金的单位名称必须与参加投标的投标人名称一致，且</w:t>
            </w:r>
            <w:r>
              <w:rPr>
                <w:rFonts w:hint="eastAsia" w:hAnsi="宋体"/>
                <w:bCs/>
                <w:kern w:val="2"/>
                <w:szCs w:val="24"/>
              </w:rPr>
              <w:t>在投标截止时间前到达以下指定账户</w:t>
            </w:r>
            <w:bookmarkEnd w:id="5"/>
            <w:r>
              <w:rPr>
                <w:rFonts w:hint="eastAsia" w:hAnsi="宋体"/>
                <w:bCs/>
                <w:kern w:val="2"/>
                <w:szCs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szCs w:val="21"/>
                      <w:lang w:val="zh-CN"/>
                    </w:rPr>
                  </w:pPr>
                  <w:r>
                    <w:rPr>
                      <w:rFonts w:hint="eastAsia"/>
                      <w:szCs w:val="21"/>
                    </w:rPr>
                    <w:t>交纳投标保证金账户名称</w:t>
                  </w:r>
                </w:p>
              </w:tc>
              <w:tc>
                <w:tcPr>
                  <w:tcW w:w="3349" w:type="dxa"/>
                  <w:vAlign w:val="center"/>
                </w:tcPr>
                <w:p>
                  <w:pPr>
                    <w:jc w:val="center"/>
                    <w:rPr>
                      <w:rFonts w:hAnsi="宋体"/>
                      <w:bCs/>
                      <w:szCs w:val="21"/>
                      <w:lang w:val="zh-CN"/>
                    </w:rPr>
                  </w:pPr>
                  <w:r>
                    <w:rPr>
                      <w:rFonts w:hint="eastAsia"/>
                      <w:szCs w:val="21"/>
                    </w:rPr>
                    <w:t>宜兴市公用环保集团有限公司</w:t>
                  </w:r>
                </w:p>
              </w:tc>
              <w:tc>
                <w:tcPr>
                  <w:tcW w:w="1084" w:type="dxa"/>
                  <w:vMerge w:val="restart"/>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szCs w:val="21"/>
                      <w:lang w:val="zh-CN"/>
                    </w:rPr>
                  </w:pPr>
                  <w:r>
                    <w:rPr>
                      <w:rFonts w:hint="eastAsia" w:hAnsi="宋体"/>
                      <w:bCs/>
                      <w:szCs w:val="21"/>
                      <w:lang w:val="zh-CN"/>
                    </w:rPr>
                    <w:t>开户银行</w:t>
                  </w:r>
                </w:p>
              </w:tc>
              <w:tc>
                <w:tcPr>
                  <w:tcW w:w="3349" w:type="dxa"/>
                  <w:vAlign w:val="center"/>
                </w:tcPr>
                <w:p>
                  <w:pPr>
                    <w:jc w:val="center"/>
                    <w:rPr>
                      <w:szCs w:val="21"/>
                    </w:rPr>
                  </w:pPr>
                  <w:r>
                    <w:rPr>
                      <w:szCs w:val="21"/>
                    </w:rPr>
                    <w:t>光大银行宜兴支行</w:t>
                  </w:r>
                </w:p>
              </w:tc>
              <w:tc>
                <w:tcPr>
                  <w:tcW w:w="1084" w:type="dxa"/>
                  <w:vMerge w:val="continue"/>
                  <w:vAlign w:val="center"/>
                </w:tcPr>
                <w:p>
                  <w:pPr>
                    <w:jc w:val="center"/>
                    <w:rPr>
                      <w:rFonts w:hAnsi="宋体"/>
                      <w:bCs/>
                      <w:szCs w:val="21"/>
                      <w:lang w:val="zh-CN"/>
                    </w:rPr>
                  </w:pPr>
                </w:p>
              </w:tc>
              <w:tc>
                <w:tcPr>
                  <w:tcW w:w="2663" w:type="dxa"/>
                  <w:vMerge w:val="continue"/>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jc w:val="center"/>
                    <w:rPr>
                      <w:rFonts w:hAnsi="宋体"/>
                      <w:bCs/>
                      <w:szCs w:val="21"/>
                      <w:lang w:val="zh-CN"/>
                    </w:rPr>
                  </w:pPr>
                  <w:r>
                    <w:rPr>
                      <w:rFonts w:hint="eastAsia" w:hAnsi="宋体"/>
                      <w:bCs/>
                      <w:szCs w:val="21"/>
                      <w:lang w:val="zh-CN"/>
                    </w:rPr>
                    <w:t>账号</w:t>
                  </w:r>
                </w:p>
              </w:tc>
              <w:tc>
                <w:tcPr>
                  <w:tcW w:w="3349" w:type="dxa"/>
                  <w:vAlign w:val="center"/>
                </w:tcPr>
                <w:p>
                  <w:pPr>
                    <w:jc w:val="center"/>
                    <w:rPr>
                      <w:szCs w:val="21"/>
                    </w:rPr>
                  </w:pPr>
                  <w:r>
                    <w:rPr>
                      <w:rFonts w:hint="eastAsia"/>
                      <w:szCs w:val="21"/>
                    </w:rPr>
                    <w:t xml:space="preserve"> </w:t>
                  </w:r>
                  <w:r>
                    <w:rPr>
                      <w:szCs w:val="21"/>
                    </w:rPr>
                    <w:t>51610188000162334</w:t>
                  </w:r>
                </w:p>
              </w:tc>
              <w:tc>
                <w:tcPr>
                  <w:tcW w:w="1084" w:type="dxa"/>
                  <w:vMerge w:val="continue"/>
                  <w:vAlign w:val="center"/>
                </w:tcPr>
                <w:p>
                  <w:pPr>
                    <w:jc w:val="center"/>
                    <w:rPr>
                      <w:rFonts w:hAnsi="宋体"/>
                      <w:bCs/>
                      <w:szCs w:val="21"/>
                      <w:lang w:val="zh-CN"/>
                    </w:rPr>
                  </w:pPr>
                </w:p>
              </w:tc>
              <w:tc>
                <w:tcPr>
                  <w:tcW w:w="2663" w:type="dxa"/>
                  <w:vMerge w:val="continue"/>
                  <w:vAlign w:val="center"/>
                </w:tcPr>
                <w:p>
                  <w:pPr>
                    <w:jc w:val="center"/>
                    <w:rPr>
                      <w:rFonts w:hAnsi="宋体"/>
                      <w:bCs/>
                      <w:szCs w:val="21"/>
                      <w:lang w:val="zh-CN"/>
                    </w:rPr>
                  </w:pPr>
                </w:p>
              </w:tc>
            </w:tr>
          </w:tbl>
          <w:p>
            <w:pPr>
              <w:rPr>
                <w:b/>
                <w:color w:val="FF0000"/>
                <w:sz w:val="24"/>
                <w:szCs w:val="24"/>
              </w:rPr>
            </w:pPr>
            <w:r>
              <w:rPr>
                <w:rFonts w:hint="eastAsia"/>
                <w:b/>
                <w:color w:val="FF0000"/>
                <w:sz w:val="24"/>
                <w:szCs w:val="24"/>
              </w:rPr>
              <w:t>注：缴纳投标保证金账户为涉密账户，账号随机，请投标单位仔细核对账号后缴纳投标保证金，否则作废标处理，合同签订后，无息退回。</w:t>
            </w:r>
          </w:p>
          <w:p>
            <w:pPr>
              <w:spacing w:line="276" w:lineRule="auto"/>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w:t>
            </w:r>
            <w:r>
              <w:rPr>
                <w:rFonts w:hint="eastAsia" w:ascii="宋体" w:hAnsi="宋体"/>
                <w:bCs/>
                <w:sz w:val="24"/>
                <w:lang w:val="zh-CN"/>
              </w:rPr>
              <w:t>缴纳中标合同总金额的</w:t>
            </w:r>
            <w:r>
              <w:rPr>
                <w:rFonts w:hint="eastAsia" w:ascii="宋体" w:hAnsi="宋体"/>
                <w:bCs/>
                <w:sz w:val="24"/>
              </w:rPr>
              <w:t>10%作为履约保证金</w:t>
            </w:r>
            <w:r>
              <w:rPr>
                <w:rFonts w:hint="eastAsia" w:ascii="宋体" w:hAnsi="宋体"/>
                <w:bCs/>
                <w:sz w:val="24"/>
                <w:szCs w:val="24"/>
                <w:lang w:val="zh-CN"/>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pPr>
              <w:jc w:val="center"/>
              <w:rPr>
                <w:rFonts w:ascii="宋体" w:hAnsi="宋体"/>
                <w:bCs/>
                <w:sz w:val="24"/>
                <w:szCs w:val="24"/>
              </w:rPr>
            </w:pPr>
            <w:r>
              <w:rPr>
                <w:rFonts w:hint="eastAsia" w:ascii="宋体" w:hAnsi="宋体"/>
                <w:bCs/>
                <w:sz w:val="24"/>
                <w:szCs w:val="24"/>
              </w:rPr>
              <w:t>5</w:t>
            </w:r>
          </w:p>
        </w:tc>
        <w:tc>
          <w:tcPr>
            <w:tcW w:w="9135" w:type="dxa"/>
          </w:tcPr>
          <w:p>
            <w:pPr>
              <w:spacing w:line="240" w:lineRule="atLeast"/>
              <w:rPr>
                <w:rFonts w:ascii="宋体" w:hAnsi="宋体" w:eastAsia="宋体" w:cs="Times New Roman"/>
                <w:bCs/>
                <w:sz w:val="24"/>
                <w:szCs w:val="21"/>
              </w:rPr>
            </w:pPr>
            <w:r>
              <w:rPr>
                <w:rFonts w:hint="eastAsia" w:ascii="宋体" w:hAnsi="宋体" w:eastAsia="宋体" w:cs="Times New Roman"/>
                <w:bCs/>
                <w:sz w:val="24"/>
                <w:szCs w:val="21"/>
              </w:rPr>
              <w:t>资格审查文件：1份（不需密封）</w:t>
            </w:r>
          </w:p>
          <w:p>
            <w:pPr>
              <w:rPr>
                <w:rFonts w:ascii="宋体" w:hAnsi="宋体"/>
                <w:bCs/>
                <w:sz w:val="24"/>
                <w:szCs w:val="24"/>
              </w:rPr>
            </w:pPr>
            <w:r>
              <w:rPr>
                <w:rFonts w:hint="eastAsia" w:ascii="宋体" w:hAnsi="宋体" w:eastAsia="宋体" w:cs="Times New Roman"/>
                <w:bCs/>
                <w:sz w:val="24"/>
                <w:szCs w:val="21"/>
              </w:rPr>
              <w:t>投标文件份数：两份，一正</w:t>
            </w:r>
            <w:r>
              <w:rPr>
                <w:rFonts w:ascii="宋体" w:hAnsi="宋体" w:eastAsia="宋体" w:cs="Times New Roman"/>
                <w:bCs/>
                <w:sz w:val="24"/>
                <w:szCs w:val="21"/>
              </w:rPr>
              <w:t>一副</w:t>
            </w:r>
            <w:r>
              <w:rPr>
                <w:rFonts w:hint="eastAsia" w:ascii="宋体" w:hAnsi="宋体" w:eastAsia="宋体" w:cs="Times New Roman"/>
                <w:bCs/>
                <w:sz w:val="24"/>
                <w:szCs w:val="21"/>
              </w:rPr>
              <w:t>（需装订后密封）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35" w:type="dxa"/>
            <w:vAlign w:val="center"/>
          </w:tcPr>
          <w:p>
            <w:pPr>
              <w:jc w:val="center"/>
              <w:rPr>
                <w:rFonts w:ascii="宋体" w:hAnsi="宋体"/>
                <w:bCs/>
                <w:sz w:val="24"/>
                <w:szCs w:val="24"/>
              </w:rPr>
            </w:pPr>
            <w:r>
              <w:rPr>
                <w:rFonts w:hint="eastAsia" w:ascii="宋体" w:hAnsi="宋体"/>
                <w:bCs/>
                <w:sz w:val="24"/>
                <w:szCs w:val="24"/>
              </w:rPr>
              <w:t>6</w:t>
            </w:r>
          </w:p>
        </w:tc>
        <w:tc>
          <w:tcPr>
            <w:tcW w:w="9135" w:type="dxa"/>
          </w:tcPr>
          <w:p>
            <w:pPr>
              <w:rPr>
                <w:rFonts w:ascii="宋体" w:hAnsi="宋体" w:eastAsia="宋体" w:cs="Times New Roman"/>
                <w:bCs/>
                <w:sz w:val="24"/>
                <w:szCs w:val="24"/>
              </w:rPr>
            </w:pPr>
            <w:r>
              <w:rPr>
                <w:rFonts w:hint="eastAsia" w:ascii="宋体" w:hAnsi="宋体" w:eastAsia="宋体" w:cs="Times New Roman"/>
                <w:bCs/>
                <w:sz w:val="24"/>
                <w:szCs w:val="24"/>
                <w:lang w:val="zh-CN"/>
              </w:rPr>
              <w:t>投标截止时间及开标时间</w:t>
            </w:r>
            <w:r>
              <w:rPr>
                <w:rFonts w:hint="eastAsia" w:ascii="宋体" w:hAnsi="宋体" w:eastAsia="宋体" w:cs="Times New Roman"/>
                <w:bCs/>
                <w:sz w:val="24"/>
                <w:szCs w:val="24"/>
              </w:rPr>
              <w:t>：2023年4月28日9:40</w:t>
            </w:r>
          </w:p>
          <w:p>
            <w:pPr>
              <w:rPr>
                <w:rFonts w:ascii="宋体" w:hAnsi="宋体" w:eastAsia="宋体" w:cs="Times New Roman"/>
                <w:bCs/>
                <w:sz w:val="24"/>
                <w:szCs w:val="24"/>
              </w:rPr>
            </w:pPr>
            <w:r>
              <w:rPr>
                <w:rFonts w:hint="eastAsia" w:ascii="宋体" w:hAnsi="宋体" w:eastAsia="宋体" w:cs="Times New Roman"/>
                <w:bCs/>
                <w:sz w:val="24"/>
                <w:szCs w:val="24"/>
              </w:rPr>
              <w:t>定标时间：评标结束后</w:t>
            </w:r>
          </w:p>
          <w:p>
            <w:pPr>
              <w:rPr>
                <w:rFonts w:ascii="宋体" w:hAnsi="宋体" w:eastAsia="宋体" w:cs="Times New Roman"/>
                <w:bCs/>
                <w:sz w:val="24"/>
                <w:szCs w:val="24"/>
                <w:lang w:val="zh-CN"/>
              </w:rPr>
            </w:pPr>
            <w:r>
              <w:rPr>
                <w:rFonts w:hint="eastAsia" w:ascii="宋体" w:hAnsi="宋体" w:eastAsia="宋体" w:cs="Times New Roman"/>
                <w:bCs/>
                <w:sz w:val="24"/>
                <w:szCs w:val="24"/>
                <w:lang w:val="zh-CN"/>
              </w:rPr>
              <w:t>（以北京时间为准）</w:t>
            </w:r>
          </w:p>
          <w:p>
            <w:pPr>
              <w:rPr>
                <w:rFonts w:ascii="宋体" w:hAnsi="宋体"/>
                <w:bCs/>
                <w:sz w:val="24"/>
                <w:szCs w:val="24"/>
              </w:rPr>
            </w:pPr>
            <w:r>
              <w:rPr>
                <w:rFonts w:hint="eastAsia" w:ascii="宋体" w:hAnsi="宋体" w:eastAsia="宋体" w:cs="Times New Roman"/>
                <w:bCs/>
                <w:sz w:val="24"/>
                <w:szCs w:val="24"/>
                <w:lang w:val="zh-CN"/>
              </w:rPr>
              <w:t>投标地点及开标地点：</w:t>
            </w:r>
            <w:r>
              <w:rPr>
                <w:rFonts w:hint="eastAsia" w:ascii="Calibri" w:hAnsi="Calibri" w:eastAsia="宋体" w:cs="Times New Roman"/>
                <w:sz w:val="24"/>
              </w:rPr>
              <w:t>宜兴市公用环保集团有限公司2楼开标室（211）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735" w:type="dxa"/>
            <w:vAlign w:val="center"/>
          </w:tcPr>
          <w:p>
            <w:pPr>
              <w:jc w:val="center"/>
              <w:rPr>
                <w:rFonts w:ascii="宋体" w:hAnsi="宋体"/>
                <w:bCs/>
                <w:sz w:val="24"/>
                <w:szCs w:val="24"/>
              </w:rPr>
            </w:pPr>
            <w:r>
              <w:rPr>
                <w:rFonts w:hint="eastAsia" w:ascii="宋体" w:hAnsi="宋体"/>
                <w:bCs/>
                <w:sz w:val="24"/>
                <w:szCs w:val="24"/>
              </w:rPr>
              <w:t>7</w:t>
            </w:r>
          </w:p>
        </w:tc>
        <w:tc>
          <w:tcPr>
            <w:tcW w:w="9135" w:type="dxa"/>
          </w:tcPr>
          <w:p>
            <w:pPr>
              <w:rPr>
                <w:rFonts w:ascii="宋体" w:hAnsi="宋体"/>
                <w:sz w:val="24"/>
                <w:szCs w:val="28"/>
              </w:rPr>
            </w:pPr>
            <w:r>
              <w:rPr>
                <w:rFonts w:hint="eastAsia" w:ascii="宋体" w:hAnsi="宋体"/>
                <w:sz w:val="24"/>
                <w:szCs w:val="28"/>
              </w:rPr>
              <w:t>采购人：宜兴市公用燃气管理有限公司</w:t>
            </w:r>
          </w:p>
          <w:p>
            <w:pPr>
              <w:rPr>
                <w:rFonts w:ascii="宋体" w:hAnsi="宋体"/>
                <w:sz w:val="24"/>
                <w:szCs w:val="28"/>
              </w:rPr>
            </w:pPr>
            <w:r>
              <w:rPr>
                <w:rFonts w:hint="eastAsia" w:ascii="宋体" w:hAnsi="宋体"/>
                <w:sz w:val="24"/>
                <w:szCs w:val="28"/>
              </w:rPr>
              <w:t>联系人：刘先生，钱先生</w:t>
            </w:r>
          </w:p>
          <w:p>
            <w:pPr>
              <w:rPr>
                <w:rFonts w:ascii="宋体" w:hAnsi="宋体"/>
                <w:sz w:val="24"/>
                <w:szCs w:val="28"/>
              </w:rPr>
            </w:pPr>
            <w:r>
              <w:rPr>
                <w:rFonts w:hint="eastAsia" w:ascii="宋体" w:hAnsi="宋体"/>
                <w:sz w:val="24"/>
                <w:szCs w:val="28"/>
              </w:rPr>
              <w:t>联系电话：0510-80718885，15358078861</w:t>
            </w:r>
          </w:p>
          <w:p>
            <w:pPr>
              <w:rPr>
                <w:rFonts w:ascii="宋体" w:hAnsi="宋体"/>
                <w:sz w:val="24"/>
                <w:szCs w:val="28"/>
              </w:rPr>
            </w:pPr>
            <w:r>
              <w:rPr>
                <w:rFonts w:hint="eastAsia" w:ascii="宋体" w:hAnsi="宋体"/>
                <w:sz w:val="24"/>
                <w:szCs w:val="28"/>
              </w:rPr>
              <w:t>联系地址：</w:t>
            </w:r>
            <w:r>
              <w:rPr>
                <w:rFonts w:ascii="宋体" w:hAnsi="宋体"/>
                <w:sz w:val="24"/>
                <w:szCs w:val="28"/>
              </w:rPr>
              <w:t>宜兴市绿园路528号</w:t>
            </w:r>
          </w:p>
          <w:p>
            <w:pPr>
              <w:rPr>
                <w:rFonts w:ascii="宋体" w:hAnsi="宋体"/>
                <w:sz w:val="24"/>
                <w:szCs w:val="28"/>
              </w:rPr>
            </w:pPr>
            <w:r>
              <w:rPr>
                <w:rFonts w:hint="eastAsia" w:ascii="宋体" w:hAnsi="宋体"/>
                <w:sz w:val="24"/>
                <w:szCs w:val="28"/>
              </w:rPr>
              <w:t>邮政编码：214000</w:t>
            </w:r>
          </w:p>
        </w:tc>
      </w:tr>
      <w:bookmarkEnd w:id="2"/>
    </w:tbl>
    <w:p>
      <w:pPr>
        <w:jc w:val="center"/>
        <w:outlineLvl w:val="0"/>
        <w:rPr>
          <w:rFonts w:ascii="黑体" w:hAnsi="黑体" w:eastAsia="黑体"/>
          <w:sz w:val="28"/>
        </w:rPr>
      </w:pPr>
      <w:bookmarkStart w:id="6" w:name="_Toc60044036"/>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jc w:val="center"/>
        <w:outlineLvl w:val="0"/>
        <w:rPr>
          <w:rFonts w:ascii="黑体" w:hAnsi="黑体" w:eastAsia="黑体"/>
          <w:sz w:val="28"/>
        </w:rPr>
      </w:pPr>
    </w:p>
    <w:p>
      <w:pPr>
        <w:pStyle w:val="2"/>
      </w:pPr>
    </w:p>
    <w:p>
      <w:pPr>
        <w:pStyle w:val="3"/>
      </w:pPr>
    </w:p>
    <w:p/>
    <w:p>
      <w:pPr>
        <w:pStyle w:val="2"/>
      </w:pPr>
    </w:p>
    <w:p>
      <w:pPr>
        <w:pStyle w:val="3"/>
      </w:pPr>
    </w:p>
    <w:p/>
    <w:p/>
    <w:p>
      <w:pPr>
        <w:pStyle w:val="2"/>
      </w:pPr>
    </w:p>
    <w:bookmarkEnd w:id="6"/>
    <w:p>
      <w:pPr>
        <w:widowControl/>
        <w:jc w:val="center"/>
        <w:rPr>
          <w:rFonts w:ascii="黑体" w:hAnsi="黑体" w:eastAsia="黑体"/>
          <w:sz w:val="32"/>
          <w:szCs w:val="32"/>
        </w:rPr>
      </w:pPr>
      <w:bookmarkStart w:id="7" w:name="_Toc23122"/>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8" w:name="OLE_LINK90"/>
      <w:r>
        <w:rPr>
          <w:rFonts w:hint="eastAsia" w:ascii="宋体" w:hAnsi="宋体"/>
          <w:bCs/>
          <w:sz w:val="24"/>
        </w:rPr>
        <w:t>5.1</w:t>
      </w:r>
      <w:r>
        <w:rPr>
          <w:rFonts w:hint="eastAsia" w:ascii="宋体" w:hAnsi="宋体"/>
          <w:sz w:val="24"/>
          <w:szCs w:val="28"/>
        </w:rPr>
        <w:t>宜兴市公用燃气管理有限公司</w:t>
      </w:r>
      <w:bookmarkStart w:id="9" w:name="OLE_LINK13"/>
      <w:bookmarkStart w:id="10" w:name="OLE_LINK109"/>
      <w:r>
        <w:rPr>
          <w:rFonts w:hint="eastAsia" w:ascii="宋体" w:hAnsi="宋体"/>
          <w:bCs/>
          <w:sz w:val="24"/>
        </w:rPr>
        <w:t>负责解释</w:t>
      </w:r>
      <w:bookmarkEnd w:id="9"/>
      <w:r>
        <w:rPr>
          <w:rFonts w:hint="eastAsia" w:ascii="宋体" w:hAnsi="宋体"/>
          <w:bCs/>
          <w:sz w:val="24"/>
        </w:rPr>
        <w:t>。</w:t>
      </w:r>
      <w:bookmarkEnd w:id="10"/>
    </w:p>
    <w:bookmarkEnd w:id="8"/>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bookmarkStart w:id="15" w:name="OLE_LINK16"/>
      <w:bookmarkStart w:id="16" w:name="OLE_LINK21"/>
      <w:bookmarkStart w:id="17" w:name="OLE_LINK62"/>
      <w:bookmarkStart w:id="18" w:name="OLE_LINK162"/>
      <w:r>
        <w:rPr>
          <w:rFonts w:hint="eastAsia" w:ascii="宋体" w:hAnsi="宋体"/>
          <w:b/>
          <w:sz w:val="24"/>
        </w:rPr>
        <w:t>7、投标文件的组成</w:t>
      </w:r>
      <w:bookmarkEnd w:id="15"/>
      <w:r>
        <w:rPr>
          <w:rFonts w:hint="eastAsia" w:ascii="宋体" w:hAnsi="宋体"/>
          <w:b/>
          <w:sz w:val="24"/>
        </w:rPr>
        <w:t>：</w:t>
      </w:r>
      <w:bookmarkStart w:id="19"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2"/>
        </w:numPr>
        <w:tabs>
          <w:tab w:val="left" w:pos="0"/>
          <w:tab w:val="left" w:pos="255"/>
        </w:tabs>
        <w:spacing w:line="360" w:lineRule="auto"/>
        <w:rPr>
          <w:rFonts w:ascii="宋体" w:hAnsi="宋体"/>
          <w:sz w:val="24"/>
          <w:szCs w:val="24"/>
        </w:rPr>
      </w:pPr>
      <w:r>
        <w:rPr>
          <w:rFonts w:hint="eastAsia" w:ascii="宋体" w:hAnsi="宋体"/>
          <w:sz w:val="24"/>
          <w:szCs w:val="24"/>
        </w:rPr>
        <w:t>关于资格的声明函（附法定代表人身份证复印件）（格式见附件）；</w:t>
      </w:r>
    </w:p>
    <w:p>
      <w:pPr>
        <w:numPr>
          <w:ilvl w:val="0"/>
          <w:numId w:val="2"/>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p>
    <w:p>
      <w:pPr>
        <w:numPr>
          <w:ilvl w:val="0"/>
          <w:numId w:val="2"/>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pPr>
        <w:numPr>
          <w:ilvl w:val="0"/>
          <w:numId w:val="2"/>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2"/>
        </w:numPr>
        <w:tabs>
          <w:tab w:val="left" w:pos="0"/>
          <w:tab w:val="left" w:pos="255"/>
        </w:tabs>
        <w:spacing w:line="360" w:lineRule="auto"/>
        <w:ind w:left="0" w:firstLine="480" w:firstLineChars="200"/>
        <w:rPr>
          <w:rFonts w:ascii="宋体" w:hAnsi="宋体"/>
          <w:bCs/>
          <w:sz w:val="24"/>
          <w:szCs w:val="24"/>
          <w:lang w:val="zh-CN"/>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2"/>
        </w:numPr>
        <w:tabs>
          <w:tab w:val="left" w:pos="0"/>
          <w:tab w:val="left" w:pos="255"/>
        </w:tabs>
        <w:spacing w:line="360" w:lineRule="auto"/>
        <w:ind w:left="0" w:firstLine="480" w:firstLineChars="200"/>
        <w:rPr>
          <w:rFonts w:ascii="宋体" w:hAnsi="宋体"/>
          <w:bCs/>
          <w:sz w:val="24"/>
          <w:szCs w:val="24"/>
          <w:lang w:val="zh-CN"/>
        </w:rPr>
      </w:pPr>
      <w:r>
        <w:rPr>
          <w:rFonts w:hint="eastAsia" w:ascii="宋体" w:hAnsi="宋体" w:eastAsia="宋体" w:cs="Times New Roman"/>
          <w:bCs/>
          <w:sz w:val="24"/>
          <w:szCs w:val="24"/>
          <w:lang w:val="zh-CN"/>
        </w:rPr>
        <w:t>投标人（或其全资子公司、分公司）为本项目被授权代表在近十二个月内连续六个月缴纳的社保证明复印件（提供相关主管部门证明或银行代扣证明，法定代表人亲自参加的除外）</w:t>
      </w:r>
    </w:p>
    <w:p>
      <w:pPr>
        <w:numPr>
          <w:ilvl w:val="0"/>
          <w:numId w:val="2"/>
        </w:numPr>
        <w:tabs>
          <w:tab w:val="left" w:pos="0"/>
          <w:tab w:val="left" w:pos="2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投标保证金交纳证明复印件（银行转账记录）；</w:t>
      </w:r>
    </w:p>
    <w:p>
      <w:pPr>
        <w:numPr>
          <w:ilvl w:val="0"/>
          <w:numId w:val="2"/>
        </w:numPr>
        <w:tabs>
          <w:tab w:val="left" w:pos="0"/>
          <w:tab w:val="left" w:pos="255"/>
        </w:tabs>
        <w:spacing w:line="360" w:lineRule="auto"/>
        <w:ind w:firstLine="480" w:firstLineChars="200"/>
        <w:rPr>
          <w:rFonts w:ascii="宋体" w:hAnsi="宋体" w:cs="宋体"/>
          <w:sz w:val="24"/>
          <w:szCs w:val="24"/>
        </w:rPr>
      </w:pP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网站列入失信执行人、税收违法黑名单、政府采购严重违法失信名单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w:t>
      </w:r>
      <w:r>
        <w:rPr>
          <w:rFonts w:ascii="宋体" w:hAnsi="宋体"/>
          <w:b/>
          <w:sz w:val="24"/>
          <w:szCs w:val="24"/>
        </w:rPr>
        <w:t>若投标人企业信息已录入以上网站的，</w:t>
      </w:r>
      <w:r>
        <w:rPr>
          <w:rFonts w:hint="eastAsia" w:ascii="宋体" w:hAnsi="宋体"/>
          <w:b/>
          <w:sz w:val="24"/>
          <w:szCs w:val="24"/>
          <w:lang w:val="zh-CN"/>
        </w:rPr>
        <w:t>无需提供相关证明材料</w:t>
      </w:r>
      <w:r>
        <w:rPr>
          <w:rFonts w:ascii="宋体" w:hAnsi="宋体"/>
          <w:b/>
          <w:sz w:val="24"/>
          <w:szCs w:val="24"/>
        </w:rPr>
        <w:t>；</w:t>
      </w:r>
      <w:r>
        <w:rPr>
          <w:rFonts w:hint="eastAsia" w:ascii="宋体" w:hAnsi="宋体"/>
          <w:b/>
          <w:sz w:val="24"/>
          <w:szCs w:val="24"/>
        </w:rPr>
        <w:t>若投标人企业信息</w:t>
      </w:r>
      <w:r>
        <w:rPr>
          <w:rFonts w:ascii="宋体" w:hAnsi="宋体"/>
          <w:b/>
          <w:sz w:val="24"/>
          <w:szCs w:val="24"/>
        </w:rPr>
        <w:t>未</w:t>
      </w:r>
      <w:r>
        <w:rPr>
          <w:rFonts w:hint="eastAsia" w:ascii="宋体" w:hAnsi="宋体"/>
          <w:b/>
          <w:sz w:val="24"/>
          <w:szCs w:val="24"/>
        </w:rPr>
        <w:t>录入以上网站的，须在投标文件中提供</w:t>
      </w:r>
      <w:r>
        <w:rPr>
          <w:rFonts w:ascii="宋体" w:hAnsi="宋体"/>
          <w:b/>
          <w:sz w:val="24"/>
          <w:szCs w:val="24"/>
        </w:rPr>
        <w:t>无不良信用记录</w:t>
      </w:r>
      <w:r>
        <w:rPr>
          <w:rFonts w:hint="eastAsia" w:ascii="宋体" w:hAnsi="宋体"/>
          <w:b/>
          <w:sz w:val="24"/>
          <w:szCs w:val="24"/>
        </w:rPr>
        <w:t>承诺</w:t>
      </w:r>
      <w:r>
        <w:rPr>
          <w:rFonts w:ascii="宋体" w:hAnsi="宋体"/>
          <w:b/>
          <w:sz w:val="24"/>
          <w:szCs w:val="24"/>
        </w:rPr>
        <w:t>书</w:t>
      </w:r>
      <w:r>
        <w:rPr>
          <w:rFonts w:hint="eastAsia" w:ascii="宋体" w:hAnsi="宋体"/>
          <w:b/>
          <w:sz w:val="24"/>
          <w:szCs w:val="24"/>
        </w:rPr>
        <w:t>）</w:t>
      </w:r>
    </w:p>
    <w:p>
      <w:pPr>
        <w:numPr>
          <w:ilvl w:val="0"/>
          <w:numId w:val="2"/>
        </w:numPr>
        <w:tabs>
          <w:tab w:val="left" w:pos="0"/>
          <w:tab w:val="left" w:pos="255"/>
        </w:tabs>
        <w:spacing w:line="360" w:lineRule="auto"/>
        <w:ind w:firstLine="480" w:firstLineChars="200"/>
        <w:rPr>
          <w:rFonts w:ascii="宋体" w:hAnsi="宋体"/>
          <w:bCs/>
          <w:sz w:val="24"/>
          <w:szCs w:val="24"/>
        </w:rPr>
      </w:pPr>
      <w:r>
        <w:rPr>
          <w:rFonts w:hint="eastAsia" w:ascii="宋体" w:hAnsi="宋体"/>
          <w:bCs/>
          <w:sz w:val="24"/>
          <w:szCs w:val="24"/>
        </w:rPr>
        <w:t>投标商需具备《安全评价机构资质证书》。</w:t>
      </w:r>
    </w:p>
    <w:p>
      <w:pPr>
        <w:tabs>
          <w:tab w:val="left" w:pos="420"/>
          <w:tab w:val="left" w:pos="945"/>
          <w:tab w:val="left" w:pos="1155"/>
        </w:tabs>
        <w:spacing w:line="360" w:lineRule="auto"/>
        <w:ind w:left="506"/>
        <w:rPr>
          <w:rFonts w:ascii="宋体" w:hAnsi="宋体" w:cs="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r>
        <w:rPr>
          <w:rFonts w:hint="eastAsia" w:ascii="宋体" w:hAnsi="宋体"/>
          <w:sz w:val="24"/>
        </w:rPr>
        <w:t>；</w:t>
      </w:r>
    </w:p>
    <w:p>
      <w:pPr>
        <w:tabs>
          <w:tab w:val="left" w:pos="0"/>
          <w:tab w:val="left" w:pos="255"/>
        </w:tabs>
        <w:spacing w:line="360" w:lineRule="auto"/>
        <w:ind w:left="284"/>
        <w:rPr>
          <w:rFonts w:ascii="宋体" w:hAnsi="宋体"/>
          <w:sz w:val="24"/>
        </w:rPr>
      </w:pPr>
      <w:r>
        <w:rPr>
          <w:rFonts w:hint="eastAsia" w:ascii="宋体" w:hAnsi="宋体"/>
          <w:sz w:val="24"/>
        </w:rPr>
        <w:t>（5）招标文件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9"/>
      <w:bookmarkEnd w:id="22"/>
    </w:p>
    <w:bookmarkEnd w:id="16"/>
    <w:bookmarkEnd w:id="17"/>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w:t>
      </w:r>
      <w:r>
        <w:rPr>
          <w:rFonts w:hint="eastAsia" w:ascii="宋体" w:hAnsi="宋体"/>
          <w:sz w:val="24"/>
          <w:szCs w:val="28"/>
        </w:rPr>
        <w:t>宜兴市公用燃气管理有限公司</w:t>
      </w:r>
      <w:r>
        <w:rPr>
          <w:rFonts w:hint="eastAsia" w:ascii="宋体" w:hAnsi="宋体"/>
          <w:bCs/>
          <w:sz w:val="24"/>
        </w:rPr>
        <w:t>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w:t>
      </w:r>
      <w:r>
        <w:rPr>
          <w:rFonts w:hint="eastAsia" w:ascii="宋体" w:hAnsi="宋体"/>
          <w:sz w:val="24"/>
          <w:szCs w:val="28"/>
        </w:rPr>
        <w:t>宜兴市公用燃气管理有限公司</w:t>
      </w:r>
      <w:r>
        <w:rPr>
          <w:rFonts w:hint="eastAsia" w:ascii="宋体" w:hAnsi="宋体"/>
          <w:bCs/>
          <w:sz w:val="24"/>
        </w:rPr>
        <w:t>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sz w:val="24"/>
          <w:szCs w:val="28"/>
        </w:rPr>
        <w:t>宜兴市公用燃气管理有限公司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3"/>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3"/>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3"/>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3"/>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3"/>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3"/>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3"/>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3"/>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3"/>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3"/>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4"/>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4"/>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4"/>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4"/>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4"/>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4"/>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3"/>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3"/>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3"/>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5"/>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5"/>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宜兴市公用环保集团有限公司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6"/>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8"/>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8"/>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9"/>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9"/>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9"/>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9"/>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5"/>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10"/>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10"/>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10"/>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10"/>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10"/>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5"/>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5"/>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11"/>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11"/>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11"/>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11"/>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11"/>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5"/>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
    <w:p/>
    <w:p>
      <w:pPr>
        <w:jc w:val="left"/>
        <w:rPr>
          <w:rFonts w:ascii="黑体" w:hAnsi="黑体" w:eastAsia="黑体"/>
          <w:sz w:val="28"/>
        </w:rPr>
      </w:pPr>
      <w:r>
        <w:rPr>
          <w:rFonts w:ascii="黑体" w:hAnsi="黑体" w:eastAsia="黑体"/>
          <w:sz w:val="28"/>
        </w:rPr>
        <w:br w:type="page"/>
      </w:r>
    </w:p>
    <w:p>
      <w:pPr>
        <w:jc w:val="center"/>
        <w:rPr>
          <w:rFonts w:ascii="黑体" w:hAnsi="黑体" w:eastAsia="黑体"/>
          <w:sz w:val="28"/>
        </w:rPr>
      </w:pPr>
      <w:r>
        <w:rPr>
          <w:rFonts w:hint="eastAsia" w:ascii="黑体" w:hAnsi="黑体" w:eastAsia="黑体"/>
          <w:sz w:val="28"/>
        </w:rPr>
        <w:t>第三章 项目技术要求和有关说明</w:t>
      </w:r>
      <w:bookmarkEnd w:id="7"/>
    </w:p>
    <w:p>
      <w:pPr>
        <w:spacing w:line="360" w:lineRule="auto"/>
        <w:rPr>
          <w:rFonts w:ascii="宋体" w:hAnsi="宋体"/>
          <w:sz w:val="24"/>
          <w:szCs w:val="24"/>
        </w:rPr>
      </w:pPr>
      <w:r>
        <w:rPr>
          <w:rFonts w:hint="eastAsia" w:ascii="宋体" w:hAnsi="宋体"/>
          <w:sz w:val="24"/>
          <w:szCs w:val="24"/>
        </w:rPr>
        <w:t>一、项目概述：</w:t>
      </w:r>
    </w:p>
    <w:p>
      <w:pPr>
        <w:widowControl/>
        <w:spacing w:line="360" w:lineRule="auto"/>
        <w:ind w:firstLine="840" w:firstLineChars="350"/>
        <w:jc w:val="left"/>
        <w:rPr>
          <w:rFonts w:ascii="宋体" w:hAnsi="宋体" w:cs="宋体"/>
          <w:b/>
          <w:kern w:val="0"/>
          <w:sz w:val="24"/>
        </w:rPr>
      </w:pPr>
      <w:r>
        <w:rPr>
          <w:rFonts w:hint="eastAsia" w:ascii="宋体" w:hAnsi="宋体" w:eastAsia="宋体" w:cs="Times New Roman"/>
          <w:sz w:val="24"/>
          <w:szCs w:val="24"/>
        </w:rPr>
        <w:t>本项目为宜兴市公用燃气管理有限公司储配站及供应点的安全现状评价。</w:t>
      </w:r>
    </w:p>
    <w:p>
      <w:pPr>
        <w:spacing w:line="360" w:lineRule="auto"/>
        <w:rPr>
          <w:rFonts w:ascii="宋体" w:hAnsi="宋体"/>
          <w:sz w:val="24"/>
          <w:szCs w:val="24"/>
        </w:rPr>
      </w:pPr>
      <w:r>
        <w:rPr>
          <w:rFonts w:hint="eastAsia" w:ascii="宋体" w:hAnsi="宋体"/>
          <w:sz w:val="24"/>
          <w:szCs w:val="24"/>
        </w:rPr>
        <w:t>二、技术要求：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1、本次招标项目的要求及数量详见下表。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9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tcPr>
          <w:p>
            <w:pPr>
              <w:jc w:val="center"/>
              <w:rPr>
                <w:sz w:val="28"/>
                <w:szCs w:val="28"/>
              </w:rPr>
            </w:pPr>
            <w:r>
              <w:rPr>
                <w:rFonts w:hint="eastAsia"/>
                <w:sz w:val="28"/>
                <w:szCs w:val="28"/>
              </w:rPr>
              <w:t>站点类别</w:t>
            </w:r>
          </w:p>
        </w:tc>
        <w:tc>
          <w:tcPr>
            <w:tcW w:w="3990" w:type="dxa"/>
          </w:tcPr>
          <w:p>
            <w:pPr>
              <w:jc w:val="center"/>
              <w:rPr>
                <w:sz w:val="28"/>
                <w:szCs w:val="28"/>
              </w:rPr>
            </w:pPr>
            <w:r>
              <w:rPr>
                <w:rFonts w:hint="eastAsia"/>
                <w:sz w:val="28"/>
                <w:szCs w:val="28"/>
              </w:rPr>
              <w:t>站点名称</w:t>
            </w:r>
          </w:p>
        </w:tc>
        <w:tc>
          <w:tcPr>
            <w:tcW w:w="2841" w:type="dxa"/>
          </w:tcPr>
          <w:p>
            <w:pPr>
              <w:jc w:val="center"/>
            </w:pPr>
            <w:r>
              <w:rPr>
                <w:rFonts w:hint="eastAsia"/>
                <w:sz w:val="28"/>
                <w:szCs w:val="28"/>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restart"/>
          </w:tcPr>
          <w:p>
            <w:pPr>
              <w:jc w:val="center"/>
              <w:rPr>
                <w:sz w:val="28"/>
                <w:szCs w:val="28"/>
              </w:rPr>
            </w:pPr>
          </w:p>
          <w:p>
            <w:pPr>
              <w:jc w:val="center"/>
              <w:rPr>
                <w:sz w:val="28"/>
                <w:szCs w:val="28"/>
              </w:rPr>
            </w:pPr>
            <w:r>
              <w:rPr>
                <w:rFonts w:hint="eastAsia"/>
                <w:sz w:val="28"/>
                <w:szCs w:val="28"/>
              </w:rPr>
              <w:t>储配站</w:t>
            </w:r>
          </w:p>
        </w:tc>
        <w:tc>
          <w:tcPr>
            <w:tcW w:w="3990" w:type="dxa"/>
          </w:tcPr>
          <w:p>
            <w:pPr>
              <w:jc w:val="center"/>
              <w:rPr>
                <w:sz w:val="28"/>
                <w:szCs w:val="28"/>
              </w:rPr>
            </w:pPr>
            <w:r>
              <w:rPr>
                <w:rFonts w:hint="eastAsia"/>
                <w:sz w:val="28"/>
                <w:szCs w:val="28"/>
              </w:rPr>
              <w:t>丁蜀储配站</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徐舍储配站</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张渚储配站</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万石储配站</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restart"/>
          </w:tcPr>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供应点</w:t>
            </w:r>
          </w:p>
        </w:tc>
        <w:tc>
          <w:tcPr>
            <w:tcW w:w="3990" w:type="dxa"/>
          </w:tcPr>
          <w:p>
            <w:pPr>
              <w:jc w:val="center"/>
              <w:rPr>
                <w:sz w:val="28"/>
                <w:szCs w:val="28"/>
              </w:rPr>
            </w:pPr>
            <w:r>
              <w:rPr>
                <w:rFonts w:hint="eastAsia"/>
                <w:sz w:val="28"/>
                <w:szCs w:val="28"/>
              </w:rPr>
              <w:t>鲸塘供应点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杨巷中心供应点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杨巷（河西）供应点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新庄供应点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芳桥供应点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新建供应点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新街供应点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太华供应点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大浦供应点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城南（西花园点）供应点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城南（新城路点）供应点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堰头供应点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新芳供应点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西渚供应点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芳庄供应点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Merge w:val="continue"/>
          </w:tcPr>
          <w:p>
            <w:pPr>
              <w:rPr>
                <w:sz w:val="28"/>
                <w:szCs w:val="28"/>
              </w:rPr>
            </w:pPr>
          </w:p>
        </w:tc>
        <w:tc>
          <w:tcPr>
            <w:tcW w:w="3990" w:type="dxa"/>
          </w:tcPr>
          <w:p>
            <w:pPr>
              <w:jc w:val="center"/>
              <w:rPr>
                <w:sz w:val="28"/>
                <w:szCs w:val="28"/>
              </w:rPr>
            </w:pPr>
            <w:r>
              <w:rPr>
                <w:rFonts w:hint="eastAsia"/>
                <w:sz w:val="28"/>
                <w:szCs w:val="28"/>
              </w:rPr>
              <w:t>范道供应点</w:t>
            </w:r>
          </w:p>
        </w:tc>
        <w:tc>
          <w:tcPr>
            <w:tcW w:w="2841" w:type="dxa"/>
          </w:tcPr>
          <w:p>
            <w:pPr>
              <w:jc w:val="center"/>
              <w:rPr>
                <w:rFonts w:ascii="宋体" w:hAnsi="宋体" w:eastAsia="宋体" w:cs="宋体"/>
                <w:sz w:val="28"/>
                <w:szCs w:val="28"/>
              </w:rPr>
            </w:pPr>
            <w:r>
              <w:rPr>
                <w:rFonts w:hint="eastAsia" w:ascii="宋体" w:hAnsi="宋体" w:eastAsia="宋体" w:cs="宋体"/>
                <w:sz w:val="28"/>
                <w:szCs w:val="28"/>
              </w:rPr>
              <w:t>5500</w:t>
            </w:r>
          </w:p>
        </w:tc>
      </w:tr>
    </w:tbl>
    <w:p>
      <w:pPr>
        <w:spacing w:line="360" w:lineRule="auto"/>
        <w:ind w:firstLine="480" w:firstLineChars="200"/>
        <w:rPr>
          <w:rFonts w:ascii="宋体" w:hAnsi="宋体" w:eastAsia="宋体" w:cs="Times New Roman"/>
          <w:sz w:val="24"/>
          <w:szCs w:val="24"/>
        </w:rPr>
      </w:pP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2、技术要求：</w:t>
      </w:r>
    </w:p>
    <w:p>
      <w:pPr>
        <w:spacing w:line="520" w:lineRule="exact"/>
        <w:rPr>
          <w:rFonts w:ascii="仿宋" w:hAnsi="仿宋" w:eastAsia="仿宋" w:cs="仿宋"/>
          <w:sz w:val="28"/>
          <w:szCs w:val="28"/>
        </w:rPr>
      </w:pPr>
      <w:r>
        <w:rPr>
          <w:rFonts w:hint="eastAsia" w:ascii="仿宋" w:hAnsi="仿宋" w:eastAsia="仿宋" w:cs="仿宋"/>
          <w:sz w:val="28"/>
          <w:szCs w:val="28"/>
        </w:rPr>
        <w:t>本次安全评价的内容需有以下几个方面：</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2.1对储配站及供应点液化石油气储存、供应及充装过程中的危险、有害因素种类及其程度进行分析评价；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2.2对储配站及供应点液化石油气储存、供应及充装过程进行安全分析评价；</w:t>
      </w:r>
      <w:r>
        <w:rPr>
          <w:rFonts w:hint="eastAsia" w:ascii="仿宋" w:hAnsi="仿宋" w:eastAsia="仿宋" w:cs="仿宋"/>
          <w:b/>
          <w:bCs/>
          <w:sz w:val="28"/>
          <w:szCs w:val="28"/>
        </w:rPr>
        <w:t>对储配站涉及重大危险源的需单独进行安全分析评价；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2.3对储配站及供应点液化石油气储存、供应及充装安全生产条件进行检查评价；</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2.4对储配站及供应点液化石油气储存、供应及充装过程提出安全对策措施与建议；</w:t>
      </w:r>
    </w:p>
    <w:p>
      <w:pPr>
        <w:spacing w:line="520" w:lineRule="exact"/>
        <w:ind w:firstLine="560" w:firstLineChars="200"/>
        <w:rPr>
          <w:sz w:val="28"/>
          <w:szCs w:val="28"/>
        </w:rPr>
      </w:pPr>
      <w:r>
        <w:rPr>
          <w:rFonts w:hint="eastAsia" w:ascii="仿宋" w:hAnsi="仿宋" w:eastAsia="仿宋" w:cs="仿宋"/>
          <w:sz w:val="28"/>
          <w:szCs w:val="28"/>
        </w:rPr>
        <w:t>2.5安全评价结论</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三、有关说明</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1、本采购文件中有关技术的相关要求为基准要求，如投标人不能完全符合此基准要求，可高于此基准要求进行投标，采购人将不接受低于该基准要求（负偏离）的投标，投标人需对此基准要求作实质性响应。</w:t>
      </w:r>
    </w:p>
    <w:p>
      <w:pPr>
        <w:spacing w:line="52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2、服务期限：</w:t>
      </w:r>
      <w:r>
        <w:rPr>
          <w:rFonts w:hint="eastAsia" w:ascii="仿宋" w:hAnsi="仿宋" w:eastAsia="仿宋" w:cs="仿宋"/>
          <w:sz w:val="28"/>
          <w:szCs w:val="28"/>
          <w:lang w:val="zh-CN"/>
        </w:rPr>
        <w:t>合同签订后，</w:t>
      </w:r>
      <w:r>
        <w:rPr>
          <w:rFonts w:hint="eastAsia" w:ascii="仿宋" w:hAnsi="仿宋" w:eastAsia="仿宋" w:cs="仿宋"/>
          <w:sz w:val="28"/>
          <w:szCs w:val="28"/>
        </w:rPr>
        <w:t>乙方在接到甲方通知之日起，60</w:t>
      </w:r>
      <w:r>
        <w:rPr>
          <w:rFonts w:hint="eastAsia" w:ascii="仿宋" w:hAnsi="仿宋" w:eastAsia="仿宋" w:cs="仿宋"/>
          <w:sz w:val="28"/>
          <w:szCs w:val="28"/>
          <w:lang w:val="zh-CN"/>
        </w:rPr>
        <w:t>天内完成服务事项。</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3、服务地点：采购人指定地点。</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4、验收标准：由公用燃气安技部根据国家有关规定、招投标文件以及合同约定的内容。</w:t>
      </w:r>
    </w:p>
    <w:p>
      <w:pPr>
        <w:pStyle w:val="2"/>
        <w:ind w:firstLine="560" w:firstLineChars="200"/>
        <w:rPr>
          <w:rFonts w:ascii="仿宋" w:hAnsi="仿宋" w:eastAsia="仿宋" w:cs="仿宋"/>
          <w:b w:val="0"/>
          <w:sz w:val="28"/>
          <w:szCs w:val="28"/>
        </w:rPr>
      </w:pPr>
      <w:r>
        <w:rPr>
          <w:rFonts w:hint="eastAsia" w:ascii="仿宋" w:hAnsi="仿宋" w:eastAsia="仿宋" w:cs="仿宋"/>
          <w:b w:val="0"/>
          <w:sz w:val="28"/>
          <w:szCs w:val="28"/>
        </w:rPr>
        <w:t>5、</w:t>
      </w:r>
      <w:r>
        <w:rPr>
          <w:rFonts w:hint="eastAsia" w:ascii="仿宋" w:hAnsi="仿宋" w:eastAsia="仿宋" w:cs="仿宋"/>
          <w:b w:val="0"/>
          <w:bCs/>
          <w:sz w:val="28"/>
          <w:szCs w:val="28"/>
        </w:rPr>
        <w:t>根据《中华人民共和国安全生产法》和《危险化学品安全生产管理条例》规定燃气企业</w:t>
      </w:r>
      <w:r>
        <w:rPr>
          <w:rFonts w:hint="eastAsia" w:ascii="仿宋" w:hAnsi="仿宋" w:eastAsia="仿宋" w:cs="仿宋"/>
          <w:sz w:val="28"/>
          <w:szCs w:val="28"/>
        </w:rPr>
        <w:t>安全现状评价为</w:t>
      </w:r>
      <w:r>
        <w:rPr>
          <w:rFonts w:hint="eastAsia" w:ascii="仿宋" w:hAnsi="仿宋" w:eastAsia="仿宋" w:cs="仿宋"/>
          <w:bCs/>
          <w:sz w:val="28"/>
          <w:szCs w:val="28"/>
        </w:rPr>
        <w:t>每三年一次</w:t>
      </w:r>
      <w:r>
        <w:rPr>
          <w:rFonts w:hint="eastAsia" w:ascii="仿宋" w:hAnsi="仿宋" w:eastAsia="仿宋" w:cs="仿宋"/>
          <w:b w:val="0"/>
          <w:sz w:val="28"/>
          <w:szCs w:val="28"/>
        </w:rPr>
        <w:t>，故中标商需保证出具的</w:t>
      </w:r>
      <w:r>
        <w:rPr>
          <w:rFonts w:hint="eastAsia" w:ascii="仿宋" w:hAnsi="仿宋" w:eastAsia="仿宋" w:cs="仿宋"/>
          <w:b w:val="0"/>
          <w:bCs/>
          <w:sz w:val="28"/>
          <w:szCs w:val="28"/>
        </w:rPr>
        <w:t>安全现状评价报告</w:t>
      </w:r>
      <w:r>
        <w:rPr>
          <w:rFonts w:hint="eastAsia" w:ascii="仿宋" w:hAnsi="仿宋" w:eastAsia="仿宋" w:cs="仿宋"/>
          <w:sz w:val="28"/>
          <w:szCs w:val="28"/>
        </w:rPr>
        <w:t>三年（36个月）内有效。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6、履约保证金：中标供应商须交纳中标合同总金额10%的履约保证金。履约保证金于中标人完成招标文件要求的安全现状评价报告并通过验收后30日内无息退还。</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7、付款步骤：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不设预付款，中标人完成招标文件要求的安全现状评价报告并通过验收后，需于当月25日前开具所供货物的全额增值税专用发票，需方在30日内支付发票金额100%的服务款。（由于财政结算等流程设计问题，特殊情况结算会滞后）</w:t>
      </w:r>
    </w:p>
    <w:p>
      <w:pPr>
        <w:spacing w:line="560" w:lineRule="exact"/>
        <w:ind w:firstLine="240" w:firstLineChars="100"/>
        <w:rPr>
          <w:rFonts w:ascii="宋体" w:hAnsi="宋体" w:cs="宋体"/>
          <w:sz w:val="24"/>
          <w:szCs w:val="24"/>
        </w:rPr>
      </w:pPr>
    </w:p>
    <w:p>
      <w:pPr>
        <w:spacing w:line="360" w:lineRule="auto"/>
        <w:ind w:firstLine="480" w:firstLineChars="200"/>
        <w:rPr>
          <w:rFonts w:ascii="宋体" w:hAnsi="宋体"/>
          <w:sz w:val="24"/>
          <w:szCs w:val="24"/>
        </w:rPr>
      </w:pPr>
    </w:p>
    <w:p>
      <w:pPr>
        <w:spacing w:line="360" w:lineRule="auto"/>
        <w:jc w:val="center"/>
        <w:outlineLvl w:val="0"/>
        <w:rPr>
          <w:rFonts w:ascii="黑体" w:hAnsi="黑体" w:eastAsia="黑体"/>
          <w:sz w:val="28"/>
        </w:rPr>
      </w:pPr>
      <w:bookmarkStart w:id="68" w:name="_Toc23355"/>
      <w:r>
        <w:rPr>
          <w:rFonts w:hint="eastAsia" w:ascii="黑体" w:hAnsi="黑体" w:eastAsia="黑体"/>
          <w:sz w:val="28"/>
        </w:rPr>
        <w:br w:type="page"/>
      </w:r>
      <w:bookmarkEnd w:id="68"/>
      <w:bookmarkStart w:id="69" w:name="_Toc130196230"/>
      <w:bookmarkStart w:id="70" w:name="_Toc487900374"/>
      <w:r>
        <w:rPr>
          <w:rFonts w:hint="eastAsia" w:ascii="黑体" w:hAnsi="黑体" w:eastAsia="黑体"/>
          <w:sz w:val="28"/>
        </w:rPr>
        <w:t>第四章 合同书（格式文本）</w:t>
      </w:r>
      <w:bookmarkEnd w:id="69"/>
    </w:p>
    <w:p>
      <w:pPr>
        <w:jc w:val="right"/>
        <w:rPr>
          <w:rFonts w:ascii="黑体" w:hAnsi="黑体" w:eastAsia="黑体"/>
          <w:sz w:val="28"/>
        </w:rPr>
      </w:pPr>
      <w:bookmarkStart w:id="71" w:name="_Toc130196231"/>
    </w:p>
    <w:p>
      <w:pPr>
        <w:spacing w:line="360" w:lineRule="auto"/>
        <w:ind w:firstLine="480" w:firstLineChars="200"/>
        <w:rPr>
          <w:rFonts w:ascii="宋体" w:hAnsi="宋体"/>
          <w:bCs/>
          <w:sz w:val="24"/>
        </w:rPr>
      </w:pPr>
      <w:r>
        <w:rPr>
          <w:rFonts w:hint="eastAsia" w:ascii="宋体" w:hAnsi="宋体"/>
          <w:bCs/>
          <w:sz w:val="24"/>
        </w:rPr>
        <w:t>本合同于    年    月    日由             （以下简称甲方）与         （以下简称乙方）签订。甲方愿以总价款人民币</w:t>
      </w:r>
      <w:r>
        <w:rPr>
          <w:rFonts w:hint="eastAsia" w:ascii="宋体" w:hAnsi="宋体"/>
          <w:bCs/>
          <w:sz w:val="24"/>
          <w:u w:val="single"/>
        </w:rPr>
        <w:t xml:space="preserve">        </w:t>
      </w:r>
      <w:r>
        <w:rPr>
          <w:rFonts w:hint="eastAsia" w:ascii="宋体" w:hAnsi="宋体"/>
          <w:bCs/>
          <w:sz w:val="24"/>
        </w:rPr>
        <w:t>元（￥</w:t>
      </w:r>
      <w:r>
        <w:rPr>
          <w:rFonts w:hint="eastAsia" w:ascii="宋体" w:hAnsi="宋体"/>
          <w:bCs/>
          <w:sz w:val="24"/>
          <w:u w:val="single"/>
        </w:rPr>
        <w:t xml:space="preserve">        </w:t>
      </w:r>
      <w:r>
        <w:rPr>
          <w:rFonts w:hint="eastAsia" w:ascii="宋体" w:hAnsi="宋体"/>
          <w:bCs/>
          <w:sz w:val="24"/>
        </w:rPr>
        <w:t>）向乙方购买</w:t>
      </w:r>
      <w:r>
        <w:rPr>
          <w:rFonts w:hint="eastAsia" w:ascii="宋体" w:hAnsi="宋体"/>
          <w:bCs/>
          <w:sz w:val="24"/>
          <w:u w:val="single"/>
        </w:rPr>
        <w:t xml:space="preserve">               </w:t>
      </w:r>
      <w:r>
        <w:rPr>
          <w:rFonts w:hint="eastAsia" w:ascii="宋体" w:hAnsi="宋体"/>
          <w:bCs/>
          <w:sz w:val="24"/>
        </w:rPr>
        <w:t>，并经双方协商同意下列条款：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（1）合同书及所附条款；（2）中标通知书；（3）乙方中标的投标文件；（4）招标文件（采购项目编号：   ）；（5）乙方在投标过程中所作的其他有关承诺、声明、书面澄清等。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三、乙方保证全部按照合同条款的规定和服务期限向甲方提供上述合格的服务和设备。</w:t>
      </w:r>
    </w:p>
    <w:p>
      <w:pPr>
        <w:spacing w:line="360" w:lineRule="auto"/>
        <w:ind w:firstLine="480" w:firstLineChars="200"/>
        <w:rPr>
          <w:rFonts w:ascii="宋体" w:hAnsi="宋体"/>
          <w:bCs/>
          <w:sz w:val="24"/>
        </w:rPr>
      </w:pPr>
      <w:r>
        <w:rPr>
          <w:rFonts w:hint="eastAsia" w:ascii="宋体" w:hAnsi="宋体"/>
          <w:bCs/>
          <w:sz w:val="24"/>
        </w:rPr>
        <w:t>四、采购人按照招标文件，组织对中标供应商提供的服务逐项进行验收，在确认服务符合采购需求的基础上，填写项目验收单并加盖单位公章。</w:t>
      </w:r>
    </w:p>
    <w:p>
      <w:pPr>
        <w:spacing w:line="360" w:lineRule="auto"/>
        <w:ind w:firstLine="480" w:firstLineChars="200"/>
        <w:rPr>
          <w:rFonts w:ascii="宋体" w:hAnsi="宋体"/>
          <w:bCs/>
          <w:sz w:val="24"/>
        </w:rPr>
      </w:pPr>
      <w:r>
        <w:rPr>
          <w:rFonts w:hint="eastAsia" w:ascii="宋体" w:hAnsi="宋体"/>
          <w:bCs/>
          <w:sz w:val="24"/>
        </w:rPr>
        <w:t>五、</w:t>
      </w:r>
      <w:bookmarkStart w:id="72" w:name="OLE_LINK38"/>
      <w:bookmarkStart w:id="73" w:name="OLE_LINK37"/>
      <w:r>
        <w:rPr>
          <w:rFonts w:hint="eastAsia" w:ascii="宋体" w:hAnsi="宋体"/>
          <w:bCs/>
          <w:sz w:val="24"/>
        </w:rPr>
        <w:t>供应商服务完毕凭正式发票按合同规定的时间、步骤和方法与甲方结算采购资金。</w:t>
      </w:r>
      <w:bookmarkEnd w:id="72"/>
      <w:bookmarkEnd w:id="73"/>
    </w:p>
    <w:p>
      <w:pPr>
        <w:spacing w:line="360" w:lineRule="auto"/>
        <w:ind w:firstLine="480" w:firstLineChars="200"/>
        <w:rPr>
          <w:rFonts w:ascii="宋体" w:hAnsi="宋体"/>
          <w:bCs/>
          <w:sz w:val="24"/>
        </w:rPr>
      </w:pPr>
      <w:r>
        <w:rPr>
          <w:rFonts w:hint="eastAsia" w:ascii="宋体" w:hAnsi="宋体"/>
          <w:bCs/>
          <w:sz w:val="24"/>
        </w:rPr>
        <w:t>六、本合同一式伍份，甲方持叁份，乙方持一份，报送上级主管部门存档一份。</w:t>
      </w:r>
    </w:p>
    <w:p>
      <w:pPr>
        <w:spacing w:line="360" w:lineRule="auto"/>
        <w:ind w:firstLine="480" w:firstLineChars="200"/>
        <w:rPr>
          <w:rFonts w:ascii="宋体" w:hAnsi="宋体"/>
          <w:bCs/>
          <w:sz w:val="24"/>
        </w:rPr>
      </w:pPr>
    </w:p>
    <w:p>
      <w:pPr>
        <w:spacing w:line="360" w:lineRule="auto"/>
        <w:jc w:val="center"/>
        <w:outlineLvl w:val="0"/>
        <w:rPr>
          <w:rFonts w:ascii="宋体" w:hAnsi="宋体"/>
          <w:sz w:val="24"/>
        </w:rPr>
      </w:pPr>
    </w:p>
    <w:tbl>
      <w:tblPr>
        <w:tblStyle w:val="24"/>
        <w:tblW w:w="0" w:type="auto"/>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tcBorders>
              <w:top w:val="nil"/>
              <w:left w:val="nil"/>
              <w:bottom w:val="nil"/>
              <w:right w:val="nil"/>
            </w:tcBorders>
          </w:tcPr>
          <w:p>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tcBorders>
              <w:top w:val="nil"/>
              <w:left w:val="nil"/>
              <w:bottom w:val="nil"/>
              <w:right w:val="nil"/>
            </w:tcBorders>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tcBorders>
              <w:top w:val="nil"/>
              <w:left w:val="nil"/>
              <w:bottom w:val="nil"/>
              <w:right w:val="nil"/>
            </w:tcBorders>
          </w:tcPr>
          <w:p>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w:t>
            </w:r>
            <w:r>
              <w:rPr>
                <w:rFonts w:ascii="宋体" w:hAnsi="宋体"/>
                <w:kern w:val="0"/>
                <w:sz w:val="24"/>
                <w:szCs w:val="24"/>
              </w:rPr>
              <w:t xml:space="preserve">    </w:t>
            </w:r>
            <w:r>
              <w:rPr>
                <w:rFonts w:hint="eastAsia" w:ascii="宋体" w:hAnsi="宋体" w:cs="宋体"/>
                <w:kern w:val="0"/>
                <w:sz w:val="24"/>
                <w:szCs w:val="24"/>
                <w:lang w:val="zh-CN"/>
              </w:rPr>
              <w:t>话：</w:t>
            </w:r>
            <w:bookmarkEnd w:id="75"/>
          </w:p>
        </w:tc>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电</w:t>
            </w:r>
            <w:r>
              <w:rPr>
                <w:rFonts w:ascii="宋体" w:hAnsi="宋体"/>
                <w:kern w:val="0"/>
                <w:sz w:val="24"/>
                <w:szCs w:val="24"/>
              </w:rPr>
              <w:t xml:space="preserve">    </w:t>
            </w:r>
            <w:r>
              <w:rPr>
                <w:rFonts w:hint="eastAsia" w:ascii="宋体" w:hAnsi="宋体" w:cs="宋体"/>
                <w:kern w:val="0"/>
                <w:sz w:val="24"/>
                <w:szCs w:val="24"/>
                <w:lang w:val="zh-CN"/>
              </w:rPr>
              <w:t>话：</w:t>
            </w:r>
          </w:p>
        </w:tc>
      </w:tr>
      <w:tr>
        <w:tblPrEx>
          <w:tblCellMar>
            <w:top w:w="0" w:type="dxa"/>
            <w:left w:w="0" w:type="dxa"/>
            <w:bottom w:w="0" w:type="dxa"/>
            <w:right w:w="0" w:type="dxa"/>
          </w:tblCellMar>
        </w:tblPrEx>
        <w:trPr>
          <w:jc w:val="center"/>
        </w:trPr>
        <w:tc>
          <w:tcPr>
            <w:tcW w:w="4643" w:type="dxa"/>
            <w:tcBorders>
              <w:top w:val="nil"/>
              <w:left w:val="nil"/>
              <w:bottom w:val="nil"/>
              <w:right w:val="nil"/>
            </w:tcBorders>
          </w:tcPr>
          <w:p>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tcBorders>
              <w:top w:val="nil"/>
              <w:left w:val="nil"/>
              <w:bottom w:val="nil"/>
              <w:right w:val="nil"/>
            </w:tcBorders>
          </w:tcPr>
          <w:p>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w:t>
            </w:r>
            <w:r>
              <w:rPr>
                <w:rFonts w:ascii="宋体" w:hAnsi="宋体"/>
                <w:kern w:val="0"/>
                <w:sz w:val="24"/>
                <w:szCs w:val="24"/>
              </w:rPr>
              <w:t xml:space="preserve">    </w:t>
            </w:r>
            <w:r>
              <w:rPr>
                <w:rFonts w:hint="eastAsia" w:ascii="宋体" w:hAnsi="宋体" w:cs="宋体"/>
                <w:kern w:val="0"/>
                <w:sz w:val="24"/>
                <w:szCs w:val="24"/>
                <w:lang w:val="zh-CN"/>
              </w:rPr>
              <w:t>号：</w:t>
            </w:r>
            <w:bookmarkEnd w:id="77"/>
          </w:p>
        </w:tc>
        <w:tc>
          <w:tcPr>
            <w:tcW w:w="4643" w:type="dxa"/>
            <w:tcBorders>
              <w:top w:val="nil"/>
              <w:left w:val="nil"/>
              <w:bottom w:val="nil"/>
              <w:right w:val="nil"/>
            </w:tcBorders>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w:t>
            </w:r>
            <w:r>
              <w:rPr>
                <w:rFonts w:ascii="宋体" w:hAnsi="宋体"/>
                <w:kern w:val="0"/>
                <w:sz w:val="24"/>
                <w:szCs w:val="24"/>
              </w:rPr>
              <w:t xml:space="preserve">    </w:t>
            </w:r>
            <w:r>
              <w:rPr>
                <w:rFonts w:hint="eastAsia" w:ascii="宋体" w:hAnsi="宋体" w:cs="宋体"/>
                <w:kern w:val="0"/>
                <w:sz w:val="24"/>
                <w:szCs w:val="24"/>
                <w:lang w:val="zh-CN"/>
              </w:rPr>
              <w:t>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jc w:val="center"/>
        </w:trPr>
        <w:tc>
          <w:tcPr>
            <w:tcW w:w="4643" w:type="dxa"/>
            <w:tcBorders>
              <w:top w:val="nil"/>
              <w:left w:val="nil"/>
              <w:bottom w:val="nil"/>
              <w:right w:val="nil"/>
            </w:tcBorders>
          </w:tcPr>
          <w:p>
            <w:pPr>
              <w:widowControl/>
              <w:adjustRightInd w:val="0"/>
              <w:jc w:val="left"/>
              <w:rPr>
                <w:rFonts w:ascii="宋体" w:cs="宋体"/>
                <w:kern w:val="0"/>
                <w:sz w:val="24"/>
                <w:szCs w:val="24"/>
                <w:lang w:val="zh-CN"/>
              </w:rPr>
            </w:pPr>
            <w:r>
              <w:rPr>
                <w:rFonts w:hint="eastAsia" w:ascii="宋体" w:cs="宋体"/>
                <w:kern w:val="0"/>
                <w:sz w:val="24"/>
                <w:szCs w:val="24"/>
                <w:lang w:val="zh-CN"/>
              </w:rPr>
              <w:t>住</w:t>
            </w:r>
            <w:r>
              <w:rPr>
                <w:rFonts w:hint="eastAsia" w:ascii="宋体" w:cs="宋体"/>
                <w:kern w:val="0"/>
                <w:sz w:val="24"/>
                <w:szCs w:val="24"/>
              </w:rPr>
              <w:t xml:space="preserve">    </w:t>
            </w:r>
            <w:r>
              <w:rPr>
                <w:rFonts w:hint="eastAsia" w:ascii="宋体" w:cs="宋体"/>
                <w:kern w:val="0"/>
                <w:sz w:val="24"/>
                <w:szCs w:val="24"/>
                <w:lang w:val="zh-CN"/>
              </w:rPr>
              <w:t>所：</w:t>
            </w:r>
          </w:p>
        </w:tc>
        <w:tc>
          <w:tcPr>
            <w:tcW w:w="4643" w:type="dxa"/>
            <w:tcBorders>
              <w:top w:val="nil"/>
              <w:left w:val="nil"/>
              <w:bottom w:val="nil"/>
              <w:right w:val="nil"/>
            </w:tcBorders>
          </w:tcPr>
          <w:p>
            <w:pPr>
              <w:widowControl/>
              <w:adjustRightInd w:val="0"/>
              <w:jc w:val="left"/>
              <w:rPr>
                <w:rFonts w:ascii="宋体" w:cs="宋体"/>
                <w:kern w:val="0"/>
                <w:sz w:val="24"/>
                <w:szCs w:val="24"/>
                <w:lang w:val="zh-CN"/>
              </w:rPr>
            </w:pPr>
            <w:r>
              <w:rPr>
                <w:rFonts w:hint="eastAsia" w:ascii="宋体" w:cs="宋体"/>
                <w:kern w:val="0"/>
                <w:sz w:val="24"/>
                <w:szCs w:val="24"/>
                <w:lang w:val="zh-CN"/>
              </w:rPr>
              <w:t>住</w:t>
            </w:r>
            <w:r>
              <w:rPr>
                <w:rFonts w:hint="eastAsia" w:ascii="宋体" w:cs="宋体"/>
                <w:kern w:val="0"/>
                <w:sz w:val="24"/>
                <w:szCs w:val="24"/>
              </w:rPr>
              <w:t xml:space="preserve">    </w:t>
            </w:r>
            <w:r>
              <w:rPr>
                <w:rFonts w:hint="eastAsia" w:ascii="宋体" w:cs="宋体"/>
                <w:kern w:val="0"/>
                <w:sz w:val="24"/>
                <w:szCs w:val="24"/>
                <w:lang w:val="zh-CN"/>
              </w:rPr>
              <w:t>所：</w:t>
            </w:r>
          </w:p>
        </w:tc>
      </w:tr>
      <w:tr>
        <w:tblPrEx>
          <w:tblCellMar>
            <w:top w:w="0" w:type="dxa"/>
            <w:left w:w="0" w:type="dxa"/>
            <w:bottom w:w="0" w:type="dxa"/>
            <w:right w:w="0" w:type="dxa"/>
          </w:tblCellMar>
        </w:tblPrEx>
        <w:trPr>
          <w:jc w:val="center"/>
        </w:trPr>
        <w:tc>
          <w:tcPr>
            <w:tcW w:w="4643" w:type="dxa"/>
            <w:tcBorders>
              <w:top w:val="nil"/>
              <w:left w:val="nil"/>
              <w:bottom w:val="nil"/>
              <w:right w:val="nil"/>
            </w:tcBorders>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w:t>
            </w:r>
            <w:r>
              <w:rPr>
                <w:rFonts w:ascii="宋体" w:cs="宋体"/>
                <w:kern w:val="0"/>
                <w:sz w:val="24"/>
                <w:szCs w:val="24"/>
                <w:lang w:val="zh-CN"/>
              </w:rPr>
              <w:t xml:space="preserve">    </w:t>
            </w:r>
            <w:r>
              <w:rPr>
                <w:rFonts w:hint="eastAsia" w:ascii="宋体" w:cs="宋体"/>
                <w:kern w:val="0"/>
                <w:sz w:val="24"/>
                <w:szCs w:val="24"/>
                <w:lang w:val="zh-CN"/>
              </w:rPr>
              <w:t>期：</w:t>
            </w:r>
            <w:r>
              <w:rPr>
                <w:rFonts w:ascii="宋体" w:cs="宋体"/>
                <w:kern w:val="0"/>
                <w:sz w:val="24"/>
                <w:szCs w:val="24"/>
                <w:lang w:val="zh-CN"/>
              </w:rPr>
              <w:t xml:space="preserve">     </w:t>
            </w:r>
            <w:r>
              <w:rPr>
                <w:rFonts w:hint="eastAsia" w:ascii="宋体" w:cs="宋体"/>
                <w:kern w:val="0"/>
                <w:sz w:val="24"/>
                <w:szCs w:val="24"/>
                <w:lang w:val="zh-CN"/>
              </w:rPr>
              <w:t>年</w:t>
            </w:r>
            <w:r>
              <w:rPr>
                <w:rFonts w:ascii="宋体" w:cs="宋体"/>
                <w:kern w:val="0"/>
                <w:sz w:val="24"/>
                <w:szCs w:val="24"/>
                <w:lang w:val="zh-CN"/>
              </w:rPr>
              <w:t xml:space="preserve">    </w:t>
            </w:r>
            <w:r>
              <w:rPr>
                <w:rFonts w:hint="eastAsia" w:ascii="宋体" w:cs="宋体"/>
                <w:kern w:val="0"/>
                <w:sz w:val="24"/>
                <w:szCs w:val="24"/>
                <w:lang w:val="zh-CN"/>
              </w:rPr>
              <w:t>月</w:t>
            </w:r>
            <w:r>
              <w:rPr>
                <w:rFonts w:ascii="宋体" w:cs="宋体"/>
                <w:kern w:val="0"/>
                <w:sz w:val="24"/>
                <w:szCs w:val="24"/>
                <w:lang w:val="zh-CN"/>
              </w:rPr>
              <w:t xml:space="preserve">    </w:t>
            </w:r>
            <w:r>
              <w:rPr>
                <w:rFonts w:hint="eastAsia" w:ascii="宋体" w:cs="宋体"/>
                <w:kern w:val="0"/>
                <w:sz w:val="24"/>
                <w:szCs w:val="24"/>
                <w:lang w:val="zh-CN"/>
              </w:rPr>
              <w:t>日</w:t>
            </w:r>
          </w:p>
        </w:tc>
        <w:tc>
          <w:tcPr>
            <w:tcW w:w="4643" w:type="dxa"/>
            <w:tcBorders>
              <w:top w:val="nil"/>
              <w:left w:val="nil"/>
              <w:bottom w:val="nil"/>
              <w:right w:val="nil"/>
            </w:tcBorders>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w:t>
            </w:r>
            <w:r>
              <w:rPr>
                <w:rFonts w:ascii="宋体" w:cs="宋体"/>
                <w:kern w:val="0"/>
                <w:sz w:val="24"/>
                <w:szCs w:val="24"/>
                <w:lang w:val="zh-CN"/>
              </w:rPr>
              <w:t xml:space="preserve">    </w:t>
            </w:r>
            <w:r>
              <w:rPr>
                <w:rFonts w:hint="eastAsia" w:ascii="宋体" w:cs="宋体"/>
                <w:kern w:val="0"/>
                <w:sz w:val="24"/>
                <w:szCs w:val="24"/>
                <w:lang w:val="zh-CN"/>
              </w:rPr>
              <w:t>期：</w:t>
            </w:r>
            <w:r>
              <w:rPr>
                <w:rFonts w:ascii="宋体" w:cs="宋体"/>
                <w:kern w:val="0"/>
                <w:sz w:val="24"/>
                <w:szCs w:val="24"/>
                <w:lang w:val="zh-CN"/>
              </w:rPr>
              <w:t xml:space="preserve">     </w:t>
            </w:r>
            <w:r>
              <w:rPr>
                <w:rFonts w:hint="eastAsia" w:ascii="宋体" w:cs="宋体"/>
                <w:kern w:val="0"/>
                <w:sz w:val="24"/>
                <w:szCs w:val="24"/>
                <w:lang w:val="zh-CN"/>
              </w:rPr>
              <w:t>年</w:t>
            </w:r>
            <w:r>
              <w:rPr>
                <w:rFonts w:ascii="宋体" w:cs="宋体"/>
                <w:kern w:val="0"/>
                <w:sz w:val="24"/>
                <w:szCs w:val="24"/>
                <w:lang w:val="zh-CN"/>
              </w:rPr>
              <w:t xml:space="preserve">    </w:t>
            </w:r>
            <w:r>
              <w:rPr>
                <w:rFonts w:hint="eastAsia" w:ascii="宋体" w:cs="宋体"/>
                <w:kern w:val="0"/>
                <w:sz w:val="24"/>
                <w:szCs w:val="24"/>
                <w:lang w:val="zh-CN"/>
              </w:rPr>
              <w:t>月</w:t>
            </w:r>
            <w:r>
              <w:rPr>
                <w:rFonts w:ascii="宋体" w:cs="宋体"/>
                <w:kern w:val="0"/>
                <w:sz w:val="24"/>
                <w:szCs w:val="24"/>
                <w:lang w:val="zh-CN"/>
              </w:rPr>
              <w:t xml:space="preserve">    </w:t>
            </w:r>
            <w:r>
              <w:rPr>
                <w:rFonts w:hint="eastAsia" w:ascii="宋体" w:cs="宋体"/>
                <w:kern w:val="0"/>
                <w:sz w:val="24"/>
                <w:szCs w:val="24"/>
                <w:lang w:val="zh-CN"/>
              </w:rPr>
              <w:t>日</w:t>
            </w:r>
          </w:p>
        </w:tc>
      </w:tr>
    </w:tbl>
    <w:p>
      <w:pPr>
        <w:spacing w:line="360" w:lineRule="auto"/>
        <w:jc w:val="center"/>
        <w:outlineLvl w:val="0"/>
        <w:rPr>
          <w:rFonts w:ascii="黑体" w:hAnsi="黑体" w:eastAsia="黑体"/>
          <w:sz w:val="28"/>
        </w:rPr>
      </w:pPr>
      <w:r>
        <w:rPr>
          <w:rFonts w:ascii="楷体_GB2312" w:eastAsia="楷体_GB2312"/>
          <w:b/>
          <w:sz w:val="32"/>
          <w:szCs w:val="32"/>
        </w:rPr>
        <w:br w:type="page"/>
      </w:r>
      <w:r>
        <w:rPr>
          <w:rFonts w:hint="eastAsia" w:ascii="黑体" w:hAnsi="黑体" w:eastAsia="黑体"/>
          <w:sz w:val="28"/>
        </w:rPr>
        <w:t>第五章 合同条款</w:t>
      </w:r>
      <w:bookmarkEnd w:id="71"/>
    </w:p>
    <w:bookmarkEnd w:id="70"/>
    <w:p>
      <w:pPr>
        <w:spacing w:line="360" w:lineRule="auto"/>
        <w:ind w:firstLine="480" w:firstLineChars="200"/>
        <w:rPr>
          <w:rFonts w:ascii="宋体" w:hAnsi="宋体"/>
          <w:bCs/>
          <w:sz w:val="24"/>
        </w:rPr>
      </w:pPr>
      <w:r>
        <w:rPr>
          <w:rFonts w:hint="eastAsia" w:ascii="宋体" w:hAnsi="宋体"/>
          <w:bCs/>
          <w:sz w:val="24"/>
        </w:rPr>
        <w:t>根据采购项目编号</w:t>
      </w:r>
      <w:r>
        <w:rPr>
          <w:rFonts w:ascii="宋体" w:hAnsi="宋体"/>
          <w:bCs/>
          <w:sz w:val="24"/>
        </w:rPr>
        <w:t>YXGYJT202304013</w:t>
      </w:r>
      <w:r>
        <w:rPr>
          <w:rFonts w:hint="eastAsia" w:ascii="宋体" w:hAnsi="宋体"/>
          <w:bCs/>
          <w:sz w:val="24"/>
        </w:rPr>
        <w:t>：</w:t>
      </w:r>
      <w:r>
        <w:rPr>
          <w:rFonts w:hint="eastAsia" w:ascii="宋体" w:hAnsi="宋体"/>
          <w:bCs/>
          <w:sz w:val="24"/>
          <w:u w:val="single"/>
        </w:rPr>
        <w:t xml:space="preserve">    </w:t>
      </w:r>
      <w:r>
        <w:rPr>
          <w:rFonts w:hint="eastAsia" w:ascii="华文新魏" w:hAnsi="华文新魏" w:eastAsia="华文新魏"/>
          <w:u w:val="single"/>
        </w:rPr>
        <w:t xml:space="preserve"> </w:t>
      </w:r>
      <w:r>
        <w:rPr>
          <w:rFonts w:hint="eastAsia" w:ascii="宋体" w:hAnsi="宋体"/>
          <w:bCs/>
          <w:sz w:val="24"/>
        </w:rPr>
        <w:t>招标文件和该项目的中标通知书及乙方投标文件，供需双方就此次中标的设备和相关问题，同意按下列条款规定执行。</w:t>
      </w:r>
    </w:p>
    <w:p>
      <w:pPr>
        <w:spacing w:line="360" w:lineRule="auto"/>
        <w:ind w:firstLine="480" w:firstLineChars="200"/>
        <w:rPr>
          <w:rFonts w:ascii="宋体" w:hAnsi="宋体"/>
          <w:bCs/>
          <w:sz w:val="24"/>
        </w:rPr>
      </w:pPr>
      <w:r>
        <w:rPr>
          <w:rFonts w:hint="eastAsia" w:ascii="宋体" w:hAnsi="宋体"/>
          <w:bCs/>
          <w:sz w:val="24"/>
        </w:rPr>
        <w:t>一、合同内容：甲方向乙方购买</w:t>
      </w:r>
      <w:r>
        <w:rPr>
          <w:rFonts w:hint="eastAsia" w:ascii="宋体" w:hAnsi="宋体"/>
          <w:bCs/>
          <w:sz w:val="24"/>
          <w:u w:val="single"/>
        </w:rPr>
        <w:t xml:space="preserve">                        </w:t>
      </w:r>
      <w:r>
        <w:rPr>
          <w:rFonts w:hint="eastAsia" w:ascii="宋体" w:hAnsi="宋体"/>
          <w:bCs/>
          <w:sz w:val="24"/>
        </w:rPr>
        <w:t>。</w:t>
      </w:r>
    </w:p>
    <w:p>
      <w:pPr>
        <w:spacing w:line="360" w:lineRule="auto"/>
        <w:ind w:left="400"/>
        <w:rPr>
          <w:rFonts w:ascii="宋体"/>
          <w:bCs/>
          <w:sz w:val="24"/>
          <w:szCs w:val="24"/>
        </w:rPr>
      </w:pPr>
      <w:r>
        <w:rPr>
          <w:rFonts w:hint="eastAsia" w:ascii="宋体" w:hAnsi="宋体"/>
          <w:bCs/>
          <w:sz w:val="24"/>
        </w:rPr>
        <w:t>二、价格及支付</w:t>
      </w:r>
    </w:p>
    <w:p>
      <w:pPr>
        <w:numPr>
          <w:ilvl w:val="0"/>
          <w:numId w:val="12"/>
        </w:numPr>
        <w:spacing w:line="360" w:lineRule="auto"/>
        <w:ind w:firstLine="480" w:firstLineChars="200"/>
        <w:rPr>
          <w:rFonts w:ascii="宋体" w:hAnsi="宋体"/>
          <w:bCs/>
          <w:sz w:val="24"/>
        </w:rPr>
      </w:pPr>
      <w:r>
        <w:rPr>
          <w:rFonts w:hint="eastAsia" w:ascii="宋体" w:hAnsi="宋体"/>
          <w:bCs/>
          <w:sz w:val="24"/>
        </w:rPr>
        <w:t>按此次中标价格执行，合同总标的额为</w:t>
      </w:r>
      <w:r>
        <w:rPr>
          <w:rFonts w:hint="eastAsia" w:ascii="宋体" w:hAnsi="宋体"/>
          <w:bCs/>
          <w:sz w:val="24"/>
          <w:u w:val="single"/>
        </w:rPr>
        <w:t xml:space="preserve">               </w:t>
      </w:r>
      <w:r>
        <w:rPr>
          <w:rFonts w:hint="eastAsia" w:ascii="宋体" w:hAnsi="宋体"/>
          <w:bCs/>
          <w:sz w:val="24"/>
        </w:rPr>
        <w:t>元。</w:t>
      </w:r>
    </w:p>
    <w:p>
      <w:pPr>
        <w:numPr>
          <w:ilvl w:val="0"/>
          <w:numId w:val="12"/>
        </w:numPr>
        <w:spacing w:line="360" w:lineRule="auto"/>
        <w:ind w:firstLine="480" w:firstLineChars="200"/>
        <w:rPr>
          <w:rFonts w:ascii="宋体" w:hAnsi="宋体"/>
          <w:bCs/>
          <w:sz w:val="24"/>
        </w:rPr>
      </w:pPr>
      <w:r>
        <w:rPr>
          <w:rFonts w:hint="eastAsia"/>
          <w:sz w:val="24"/>
        </w:rPr>
        <w:t>与本</w:t>
      </w:r>
      <w:r>
        <w:rPr>
          <w:rFonts w:hint="eastAsia" w:eastAsia="宋体" w:cs="Times New Roman"/>
          <w:sz w:val="24"/>
        </w:rPr>
        <w:t>次安全现状评价</w:t>
      </w:r>
      <w:r>
        <w:rPr>
          <w:rFonts w:hint="eastAsia"/>
          <w:sz w:val="24"/>
        </w:rPr>
        <w:t>服务有关的食宿费用由乙方自行承担。</w:t>
      </w:r>
    </w:p>
    <w:p>
      <w:pPr>
        <w:spacing w:line="360" w:lineRule="auto"/>
        <w:ind w:firstLine="480" w:firstLineChars="200"/>
        <w:rPr>
          <w:rFonts w:ascii="宋体" w:hAnsi="宋体"/>
          <w:bCs/>
          <w:sz w:val="24"/>
        </w:rPr>
      </w:pPr>
      <w:r>
        <w:rPr>
          <w:rFonts w:hint="eastAsia" w:ascii="宋体" w:hAnsi="宋体"/>
          <w:bCs/>
          <w:sz w:val="24"/>
        </w:rPr>
        <w:t>付款步骤：</w:t>
      </w:r>
      <w:r>
        <w:rPr>
          <w:rFonts w:hint="eastAsia" w:ascii="宋体" w:hAnsi="宋体" w:eastAsia="宋体" w:cs="Times New Roman"/>
          <w:bCs/>
          <w:sz w:val="24"/>
        </w:rPr>
        <w:t>本项目不设预付款，中标人完成招标文件要求的安全现状评价报告并通过验收后，需于当月25日前开具所供货物的全额增值税专用发票，需方在30日内支付发票金额100%的服务款。（由于财政结算等流程设计问题，特殊情况结算会滞后）</w:t>
      </w:r>
    </w:p>
    <w:p>
      <w:pPr>
        <w:numPr>
          <w:ilvl w:val="0"/>
          <w:numId w:val="12"/>
        </w:numPr>
        <w:spacing w:line="360" w:lineRule="auto"/>
        <w:ind w:firstLine="480" w:firstLineChars="200"/>
        <w:rPr>
          <w:rFonts w:ascii="宋体" w:hAnsi="宋体"/>
          <w:bCs/>
          <w:sz w:val="24"/>
        </w:rPr>
      </w:pPr>
      <w:r>
        <w:rPr>
          <w:rFonts w:hint="eastAsia" w:ascii="宋体" w:hAnsi="宋体"/>
          <w:bCs/>
          <w:sz w:val="24"/>
        </w:rPr>
        <w:t>付款方式：</w:t>
      </w:r>
      <w:r>
        <w:rPr>
          <w:rFonts w:hint="eastAsia" w:ascii="宋体" w:hAnsi="宋体"/>
          <w:sz w:val="24"/>
        </w:rPr>
        <w:t>银行汇票或转帐支票。</w:t>
      </w:r>
    </w:p>
    <w:p>
      <w:pPr>
        <w:spacing w:line="360" w:lineRule="auto"/>
        <w:ind w:firstLine="480" w:firstLineChars="200"/>
        <w:rPr>
          <w:rFonts w:ascii="宋体" w:hAnsi="宋体"/>
          <w:sz w:val="24"/>
          <w:szCs w:val="24"/>
        </w:rPr>
      </w:pPr>
      <w:r>
        <w:rPr>
          <w:rFonts w:hint="eastAsia" w:ascii="宋体" w:hAnsi="宋体"/>
          <w:bCs/>
          <w:sz w:val="24"/>
        </w:rPr>
        <w:t>4、履约保证金：</w:t>
      </w:r>
      <w:r>
        <w:rPr>
          <w:rFonts w:hint="eastAsia" w:ascii="宋体" w:hAnsi="宋体"/>
          <w:sz w:val="24"/>
          <w:szCs w:val="24"/>
        </w:rPr>
        <w:t>中标供应商须交纳中标合同总金额10%的履约保证金。</w:t>
      </w:r>
    </w:p>
    <w:p>
      <w:pPr>
        <w:spacing w:line="520" w:lineRule="exact"/>
        <w:ind w:firstLine="480" w:firstLineChars="200"/>
        <w:rPr>
          <w:rFonts w:ascii="宋体" w:hAnsi="宋体"/>
          <w:sz w:val="24"/>
        </w:rPr>
      </w:pPr>
      <w:r>
        <w:rPr>
          <w:rFonts w:hint="eastAsia" w:ascii="宋体" w:hAnsi="宋体"/>
          <w:bCs/>
          <w:sz w:val="24"/>
        </w:rPr>
        <w:t>5、履约保证金的退还</w:t>
      </w:r>
      <w:r>
        <w:rPr>
          <w:rFonts w:hint="eastAsia" w:ascii="宋体" w:hAnsi="宋体" w:eastAsia="宋体" w:cs="Times New Roman"/>
          <w:bCs/>
          <w:sz w:val="24"/>
        </w:rPr>
        <w:t>：履约保证金于中标人完成招标文件要求的安全现状评价报告并通过验收后30日内无息退还。</w:t>
      </w:r>
    </w:p>
    <w:p>
      <w:pPr>
        <w:spacing w:line="360" w:lineRule="auto"/>
        <w:ind w:firstLine="480" w:firstLineChars="200"/>
        <w:rPr>
          <w:rFonts w:ascii="宋体"/>
          <w:bCs/>
          <w:sz w:val="24"/>
          <w:szCs w:val="24"/>
        </w:rPr>
      </w:pPr>
      <w:r>
        <w:rPr>
          <w:rFonts w:hint="eastAsia" w:ascii="宋体" w:hAnsi="宋体"/>
          <w:bCs/>
          <w:sz w:val="24"/>
          <w:szCs w:val="24"/>
        </w:rPr>
        <w:t>三、知识</w:t>
      </w:r>
      <w:r>
        <w:rPr>
          <w:rFonts w:hint="eastAsia" w:ascii="宋体" w:hAnsi="宋体"/>
          <w:bCs/>
          <w:sz w:val="24"/>
        </w:rPr>
        <w:t>产权</w:t>
      </w:r>
    </w:p>
    <w:p>
      <w:pPr>
        <w:tabs>
          <w:tab w:val="left" w:pos="945"/>
        </w:tabs>
        <w:spacing w:line="360" w:lineRule="auto"/>
        <w:ind w:firstLine="480" w:firstLineChars="200"/>
        <w:rPr>
          <w:rFonts w:ascii="宋体"/>
          <w:bCs/>
          <w:sz w:val="24"/>
          <w:szCs w:val="24"/>
        </w:rPr>
      </w:pPr>
      <w:r>
        <w:rPr>
          <w:rFonts w:hint="eastAsia" w:ascii="宋体" w:hAnsi="宋体"/>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四、质量保证</w:t>
      </w:r>
    </w:p>
    <w:p>
      <w:pPr>
        <w:numPr>
          <w:ilvl w:val="0"/>
          <w:numId w:val="13"/>
        </w:numPr>
        <w:tabs>
          <w:tab w:val="left" w:pos="945"/>
        </w:tabs>
        <w:spacing w:line="360" w:lineRule="auto"/>
        <w:ind w:firstLine="480" w:firstLineChars="200"/>
        <w:rPr>
          <w:rFonts w:ascii="宋体" w:hAnsi="宋体"/>
          <w:bCs/>
          <w:sz w:val="24"/>
          <w:szCs w:val="24"/>
        </w:rPr>
      </w:pPr>
      <w:r>
        <w:rPr>
          <w:rFonts w:hint="eastAsia" w:ascii="宋体" w:hAnsi="宋体"/>
          <w:bCs/>
          <w:sz w:val="24"/>
          <w:szCs w:val="24"/>
        </w:rPr>
        <w:t>乙方提供的</w:t>
      </w:r>
      <w:r>
        <w:rPr>
          <w:rFonts w:hint="eastAsia" w:ascii="宋体" w:hAnsi="宋体"/>
          <w:bCs/>
          <w:sz w:val="24"/>
          <w:szCs w:val="24"/>
          <w:lang w:val="zh-CN"/>
        </w:rPr>
        <w:t>服务的技术规格应与招标文件规定的技术规格及所附的“技术条款偏离表”相一致；若技术性能无特殊说明，则按国家有关部门最新颁布的标准及规范为准</w:t>
      </w:r>
      <w:r>
        <w:rPr>
          <w:rFonts w:hint="eastAsia"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五、交付和验收</w:t>
      </w:r>
    </w:p>
    <w:p>
      <w:pPr>
        <w:tabs>
          <w:tab w:val="left" w:pos="945"/>
        </w:tabs>
        <w:spacing w:line="360" w:lineRule="auto"/>
        <w:ind w:firstLine="480" w:firstLineChars="200"/>
        <w:rPr>
          <w:lang w:val="zh-CN"/>
        </w:rPr>
      </w:pPr>
      <w:r>
        <w:rPr>
          <w:rFonts w:hint="eastAsia" w:ascii="宋体" w:hAnsi="宋体" w:eastAsia="宋体" w:cs="Times New Roman"/>
          <w:bCs/>
          <w:sz w:val="24"/>
          <w:szCs w:val="24"/>
        </w:rPr>
        <w:t>1.</w:t>
      </w:r>
      <w:r>
        <w:rPr>
          <w:rFonts w:hint="eastAsia" w:ascii="宋体" w:hAnsi="宋体" w:eastAsia="宋体" w:cs="Times New Roman"/>
          <w:bCs/>
          <w:sz w:val="24"/>
          <w:szCs w:val="24"/>
          <w:lang w:val="zh-CN"/>
        </w:rPr>
        <w:t>合同签订后，</w:t>
      </w:r>
      <w:r>
        <w:rPr>
          <w:rFonts w:hint="eastAsia" w:ascii="宋体" w:hAnsi="宋体" w:eastAsia="宋体" w:cs="Times New Roman"/>
          <w:bCs/>
          <w:sz w:val="24"/>
          <w:szCs w:val="24"/>
        </w:rPr>
        <w:t>乙方在接到甲方通知进场之日起，</w:t>
      </w:r>
      <w:r>
        <w:rPr>
          <w:rFonts w:hint="eastAsia" w:ascii="宋体" w:hAnsi="宋体" w:eastAsia="宋体" w:cs="Times New Roman"/>
          <w:bCs/>
          <w:sz w:val="24"/>
          <w:szCs w:val="24"/>
          <w:u w:val="single"/>
        </w:rPr>
        <w:t>60</w:t>
      </w:r>
      <w:r>
        <w:rPr>
          <w:rFonts w:hint="eastAsia" w:ascii="宋体" w:hAnsi="宋体" w:eastAsia="宋体" w:cs="Times New Roman"/>
          <w:bCs/>
          <w:sz w:val="24"/>
          <w:szCs w:val="24"/>
          <w:lang w:val="zh-CN"/>
        </w:rPr>
        <w:t>天内完成服务事项。</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2.验收标准：按行业通行标准、厂方出厂标准、招标文件要求和乙方投标文件的承诺，并不低于</w:t>
      </w:r>
      <w:r>
        <w:rPr>
          <w:rFonts w:hint="eastAsia" w:ascii="宋体" w:hAnsi="宋体"/>
          <w:bCs/>
          <w:sz w:val="24"/>
          <w:szCs w:val="24"/>
          <w:lang w:val="zh-CN"/>
        </w:rPr>
        <w:t>国家有关部门最新颁布的标准及规范</w:t>
      </w:r>
      <w:r>
        <w:rPr>
          <w:rFonts w:hint="eastAsia" w:ascii="宋体" w:hAnsi="宋体"/>
          <w:bCs/>
          <w:sz w:val="24"/>
          <w:szCs w:val="24"/>
        </w:rPr>
        <w:t>。</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3.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pPr>
        <w:spacing w:line="360" w:lineRule="auto"/>
        <w:ind w:firstLine="480" w:firstLineChars="200"/>
        <w:rPr>
          <w:rFonts w:ascii="宋体" w:hAnsi="宋体"/>
          <w:bCs/>
          <w:sz w:val="24"/>
          <w:szCs w:val="24"/>
        </w:rPr>
      </w:pPr>
      <w:r>
        <w:rPr>
          <w:rFonts w:hint="eastAsia" w:ascii="宋体" w:hAnsi="宋体"/>
          <w:bCs/>
          <w:sz w:val="24"/>
          <w:szCs w:val="24"/>
        </w:rPr>
        <w:t>六、售后服务：</w:t>
      </w:r>
    </w:p>
    <w:p>
      <w:pPr>
        <w:numPr>
          <w:ilvl w:val="0"/>
          <w:numId w:val="14"/>
        </w:numPr>
        <w:tabs>
          <w:tab w:val="clear" w:pos="0"/>
        </w:tabs>
        <w:spacing w:line="360" w:lineRule="auto"/>
        <w:ind w:firstLine="480" w:firstLineChars="200"/>
        <w:rPr>
          <w:rFonts w:ascii="宋体" w:hAnsi="宋体"/>
          <w:bCs/>
          <w:sz w:val="24"/>
        </w:rPr>
      </w:pPr>
      <w:r>
        <w:rPr>
          <w:rFonts w:hint="eastAsia" w:ascii="宋体" w:hAnsi="宋体"/>
          <w:bCs/>
          <w:sz w:val="24"/>
        </w:rPr>
        <w:t>乙方须按照国家有关法律法规规章和“三包”规定以及按招标文件要求和乙方投标文件中的承诺提供服务。</w:t>
      </w:r>
    </w:p>
    <w:p>
      <w:pPr>
        <w:numPr>
          <w:ilvl w:val="0"/>
          <w:numId w:val="14"/>
        </w:numPr>
        <w:tabs>
          <w:tab w:val="clear" w:pos="0"/>
        </w:tabs>
        <w:spacing w:line="360" w:lineRule="auto"/>
        <w:ind w:firstLine="480" w:firstLineChars="200"/>
        <w:rPr>
          <w:rFonts w:ascii="宋体" w:hAnsi="宋体"/>
          <w:bCs/>
          <w:sz w:val="24"/>
          <w:lang w:val="zh-CN"/>
        </w:rPr>
      </w:pPr>
      <w:r>
        <w:rPr>
          <w:rFonts w:hint="eastAsia" w:ascii="宋体" w:hAnsi="宋体"/>
          <w:bCs/>
          <w:sz w:val="24"/>
          <w:lang w:val="zh-CN"/>
        </w:rPr>
        <w:t>乙方应为甲方提供免费培训服务，并指派专人负责与甲方联系售后服务事宜。</w:t>
      </w:r>
    </w:p>
    <w:p>
      <w:pPr>
        <w:spacing w:line="360" w:lineRule="auto"/>
        <w:ind w:firstLine="480" w:firstLineChars="200"/>
        <w:rPr>
          <w:rFonts w:ascii="宋体" w:hAnsi="宋体"/>
          <w:bCs/>
          <w:sz w:val="24"/>
          <w:szCs w:val="24"/>
        </w:rPr>
      </w:pPr>
      <w:r>
        <w:rPr>
          <w:rFonts w:hint="eastAsia" w:ascii="宋体" w:hAnsi="宋体"/>
          <w:bCs/>
          <w:sz w:val="24"/>
          <w:szCs w:val="24"/>
        </w:rPr>
        <w:t>七、违约责任：</w:t>
      </w:r>
    </w:p>
    <w:p>
      <w:pPr>
        <w:numPr>
          <w:ilvl w:val="0"/>
          <w:numId w:val="15"/>
        </w:numPr>
        <w:spacing w:line="360" w:lineRule="auto"/>
        <w:ind w:firstLine="480" w:firstLineChars="200"/>
        <w:rPr>
          <w:rFonts w:ascii="宋体" w:hAnsi="宋体" w:eastAsia="宋体" w:cs="宋体"/>
          <w:bCs/>
          <w:color w:val="000000"/>
          <w:sz w:val="24"/>
          <w:szCs w:val="24"/>
          <w:lang w:val="zh-CN"/>
        </w:rPr>
      </w:pPr>
      <w:r>
        <w:rPr>
          <w:rFonts w:hint="eastAsia" w:ascii="宋体" w:hAnsi="宋体" w:eastAsia="宋体" w:cs="宋体"/>
          <w:bCs/>
          <w:sz w:val="24"/>
          <w:szCs w:val="24"/>
          <w:lang w:val="zh-CN"/>
        </w:rPr>
        <w:t>如乙方不能交付服务，除不可抗力外，乙方应向甲方就逾期交付部分支付违约金，具体每日按逾期交付部分总价款的</w:t>
      </w:r>
      <w:r>
        <w:rPr>
          <w:rFonts w:hint="eastAsia" w:ascii="宋体" w:hAnsi="宋体" w:eastAsia="宋体" w:cs="宋体"/>
          <w:bCs/>
          <w:sz w:val="24"/>
          <w:szCs w:val="24"/>
        </w:rPr>
        <w:t>3</w:t>
      </w:r>
      <w:r>
        <w:rPr>
          <w:rFonts w:hint="eastAsia" w:ascii="宋体" w:hAnsi="宋体" w:eastAsia="宋体" w:cs="宋体"/>
          <w:bCs/>
          <w:sz w:val="24"/>
          <w:szCs w:val="24"/>
          <w:lang w:val="zh-CN"/>
        </w:rPr>
        <w:t>‰支付。乙方逾期超过15个工作日以上的视为乙方不履行合同，</w:t>
      </w:r>
      <w:r>
        <w:rPr>
          <w:rFonts w:hint="eastAsia" w:ascii="宋体" w:hAnsi="宋体" w:eastAsia="宋体" w:cs="宋体"/>
          <w:bCs/>
          <w:sz w:val="24"/>
          <w:szCs w:val="24"/>
        </w:rPr>
        <w:t>甲方有权终止合同，并要求乙方赔偿10%的违约金，</w:t>
      </w:r>
      <w:r>
        <w:rPr>
          <w:rFonts w:hint="eastAsia" w:ascii="宋体" w:hAnsi="宋体" w:eastAsia="宋体" w:cs="宋体"/>
          <w:color w:val="000000"/>
          <w:kern w:val="0"/>
          <w:sz w:val="24"/>
          <w:szCs w:val="24"/>
        </w:rPr>
        <w:t>如给需方造成损失的，还应赔偿相应损失。</w:t>
      </w:r>
    </w:p>
    <w:p>
      <w:pPr>
        <w:numPr>
          <w:ilvl w:val="0"/>
          <w:numId w:val="15"/>
        </w:numPr>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由于甲方的原因要求延期交付，甲方应按规定承付货款。</w:t>
      </w:r>
    </w:p>
    <w:p>
      <w:pPr>
        <w:numPr>
          <w:ilvl w:val="0"/>
          <w:numId w:val="15"/>
        </w:numPr>
        <w:spacing w:line="360" w:lineRule="auto"/>
        <w:ind w:firstLine="480" w:firstLineChars="200"/>
        <w:rPr>
          <w:rFonts w:ascii="宋体" w:hAnsi="宋体" w:eastAsia="宋体" w:cs="宋体"/>
          <w:sz w:val="24"/>
          <w:szCs w:val="24"/>
          <w:lang w:val="zh-CN"/>
        </w:rPr>
      </w:pPr>
      <w:r>
        <w:rPr>
          <w:rFonts w:hint="eastAsia" w:ascii="宋体" w:hAnsi="宋体" w:eastAsia="宋体" w:cs="宋体"/>
          <w:bCs/>
          <w:sz w:val="24"/>
          <w:szCs w:val="24"/>
          <w:lang w:val="zh-CN"/>
        </w:rPr>
        <w:t>乙方在项目工作中需到现场进行考察调研，甲方应给予必要的配合。</w:t>
      </w:r>
    </w:p>
    <w:p>
      <w:pPr>
        <w:numPr>
          <w:ilvl w:val="0"/>
          <w:numId w:val="15"/>
        </w:numPr>
        <w:spacing w:line="360" w:lineRule="auto"/>
        <w:ind w:firstLine="480" w:firstLineChars="200"/>
        <w:rPr>
          <w:rFonts w:ascii="宋体" w:hAnsi="宋体" w:eastAsia="宋体" w:cs="宋体"/>
          <w:sz w:val="24"/>
          <w:szCs w:val="24"/>
          <w:lang w:val="zh-CN"/>
        </w:rPr>
      </w:pPr>
      <w:r>
        <w:rPr>
          <w:rFonts w:hint="eastAsia" w:ascii="宋体" w:hAnsi="宋体" w:eastAsia="宋体" w:cs="宋体"/>
          <w:bCs/>
          <w:sz w:val="24"/>
          <w:szCs w:val="24"/>
          <w:lang w:val="zh-CN"/>
        </w:rPr>
        <w:t>甲方负责提供安全现状评价报告编制中所需的各类相关资料。如甲方提供的资料不实、有误或不能完成隐患整改导致报告错误或造成延误，由甲方承担全部责任。甲方收到乙方提供的安全评价报告初稿，三个月内未能继续配合提供完整资料或未能完成隐患整改，视同甲方违约。</w:t>
      </w:r>
    </w:p>
    <w:p>
      <w:pPr>
        <w:numPr>
          <w:ilvl w:val="0"/>
          <w:numId w:val="15"/>
        </w:numPr>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乙方如不能按合同约定按时提供伴随服务</w:t>
      </w:r>
      <w:r>
        <w:rPr>
          <w:rFonts w:hint="eastAsia" w:ascii="宋体" w:hAnsi="宋体" w:eastAsia="宋体" w:cs="宋体"/>
          <w:bCs/>
          <w:sz w:val="24"/>
          <w:szCs w:val="24"/>
        </w:rPr>
        <w:t>/</w:t>
      </w:r>
      <w:r>
        <w:rPr>
          <w:rFonts w:hint="eastAsia" w:ascii="宋体" w:hAnsi="宋体" w:eastAsia="宋体" w:cs="宋体"/>
          <w:bCs/>
          <w:sz w:val="24"/>
          <w:szCs w:val="24"/>
          <w:lang w:val="zh-CN"/>
        </w:rPr>
        <w:t>售后服务，则应承担甲方因此支出的费用并按合同总价款的2%向甲方支付违约金。</w:t>
      </w:r>
    </w:p>
    <w:p>
      <w:pPr>
        <w:numPr>
          <w:ilvl w:val="0"/>
          <w:numId w:val="15"/>
        </w:numPr>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pPr>
        <w:numPr>
          <w:ilvl w:val="0"/>
          <w:numId w:val="15"/>
        </w:numPr>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w:t>
      </w:r>
    </w:p>
    <w:p>
      <w:pPr>
        <w:numPr>
          <w:ilvl w:val="0"/>
          <w:numId w:val="15"/>
        </w:numPr>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乙方在合同要求时间内完成安全现状评价报告编制，并与甲方进行协商交流，对安全现状评价报告做相应的补充修改，确保符合要求。若乙方未能按时完成符合要求的安全现状评价报告的编制，视同乙方违约；</w:t>
      </w:r>
    </w:p>
    <w:p>
      <w:pPr>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rPr>
        <w:t>11.</w:t>
      </w:r>
      <w:r>
        <w:rPr>
          <w:rFonts w:hint="eastAsia" w:ascii="宋体" w:hAnsi="宋体" w:eastAsia="宋体" w:cs="宋体"/>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bCs/>
          <w:sz w:val="24"/>
          <w:szCs w:val="24"/>
        </w:rPr>
        <w:t>12.</w:t>
      </w:r>
      <w:r>
        <w:rPr>
          <w:rFonts w:hint="eastAsia" w:ascii="宋体" w:hAnsi="宋体" w:eastAsia="宋体" w:cs="宋体"/>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numPr>
          <w:ilvl w:val="0"/>
          <w:numId w:val="16"/>
        </w:numPr>
        <w:spacing w:line="360" w:lineRule="auto"/>
        <w:ind w:firstLine="480" w:firstLineChars="200"/>
        <w:rPr>
          <w:rFonts w:ascii="宋体" w:hAnsi="宋体"/>
          <w:bCs/>
          <w:sz w:val="24"/>
          <w:szCs w:val="24"/>
        </w:rPr>
      </w:pPr>
      <w:r>
        <w:rPr>
          <w:rFonts w:hint="eastAsia" w:ascii="宋体" w:hAnsi="宋体"/>
          <w:bCs/>
          <w:sz w:val="24"/>
          <w:szCs w:val="24"/>
          <w:lang w:val="zh-CN"/>
        </w:rPr>
        <w:t>争议的解决</w:t>
      </w:r>
    </w:p>
    <w:p>
      <w:pPr>
        <w:numPr>
          <w:ilvl w:val="0"/>
          <w:numId w:val="17"/>
        </w:numPr>
        <w:spacing w:line="360" w:lineRule="auto"/>
        <w:ind w:firstLine="480" w:firstLineChars="200"/>
        <w:rPr>
          <w:rFonts w:ascii="宋体" w:hAnsi="宋体"/>
          <w:bCs/>
          <w:sz w:val="24"/>
          <w:lang w:val="zh-CN"/>
        </w:rPr>
      </w:pPr>
      <w:r>
        <w:rPr>
          <w:rFonts w:hint="eastAsia" w:ascii="宋体" w:hAnsi="宋体"/>
          <w:bCs/>
          <w:sz w:val="24"/>
          <w:lang w:val="zh-CN"/>
        </w:rPr>
        <w:t>因服务的质量问题发生争议的，应当邀请国家认可的质量检测机构对服务质量进行鉴定。符合标准的，鉴定费由甲方承担；不符合质量标准的，鉴定费由乙方承担。</w:t>
      </w:r>
    </w:p>
    <w:p>
      <w:pPr>
        <w:numPr>
          <w:ilvl w:val="0"/>
          <w:numId w:val="17"/>
        </w:numPr>
        <w:spacing w:line="360" w:lineRule="auto"/>
        <w:ind w:firstLine="480" w:firstLineChars="200"/>
        <w:rPr>
          <w:rFonts w:ascii="宋体" w:hAnsi="宋体"/>
          <w:bCs/>
          <w:sz w:val="24"/>
          <w:lang w:val="zh-CN"/>
        </w:rPr>
      </w:pPr>
      <w:r>
        <w:rPr>
          <w:rFonts w:hint="eastAsia" w:ascii="宋体" w:hAnsi="宋体"/>
          <w:bCs/>
          <w:sz w:val="24"/>
          <w:lang w:val="zh-CN"/>
        </w:rPr>
        <w:t>因履行本合同引起的或与本合同有关的争议，先协调解决，如协调解决不成，则可向甲方所在地（宜兴）法院起诉。</w:t>
      </w:r>
    </w:p>
    <w:p>
      <w:pPr>
        <w:numPr>
          <w:ilvl w:val="0"/>
          <w:numId w:val="16"/>
        </w:numPr>
        <w:spacing w:line="360" w:lineRule="auto"/>
        <w:ind w:firstLine="480" w:firstLineChars="200"/>
        <w:rPr>
          <w:rFonts w:ascii="宋体" w:hAnsi="宋体"/>
          <w:bCs/>
          <w:sz w:val="24"/>
          <w:szCs w:val="24"/>
          <w:lang w:val="zh-CN"/>
        </w:rPr>
      </w:pPr>
      <w:r>
        <w:rPr>
          <w:rFonts w:hint="eastAsia" w:ascii="宋体" w:hAnsi="宋体"/>
          <w:bCs/>
          <w:sz w:val="24"/>
          <w:szCs w:val="24"/>
        </w:rPr>
        <w:t>合同生效及其它</w:t>
      </w:r>
    </w:p>
    <w:p>
      <w:pPr>
        <w:numPr>
          <w:ilvl w:val="0"/>
          <w:numId w:val="18"/>
        </w:numPr>
        <w:spacing w:line="360" w:lineRule="auto"/>
        <w:ind w:firstLine="480" w:firstLineChars="200"/>
        <w:rPr>
          <w:rFonts w:ascii="宋体" w:hAnsi="宋体"/>
          <w:bCs/>
          <w:sz w:val="24"/>
          <w:lang w:val="zh-CN"/>
        </w:rPr>
      </w:pPr>
      <w:r>
        <w:rPr>
          <w:rFonts w:hint="eastAsia" w:ascii="宋体" w:hAnsi="宋体"/>
          <w:bCs/>
          <w:sz w:val="24"/>
          <w:lang w:val="zh-CN"/>
        </w:rPr>
        <w:t>合同经供需双方代表签字并加盖公章（或合同章）后即生效。</w:t>
      </w:r>
    </w:p>
    <w:p>
      <w:pPr>
        <w:numPr>
          <w:ilvl w:val="0"/>
          <w:numId w:val="18"/>
        </w:numPr>
        <w:spacing w:line="360" w:lineRule="auto"/>
        <w:ind w:firstLine="480" w:firstLineChars="200"/>
        <w:rPr>
          <w:rFonts w:ascii="宋体" w:hAnsi="宋体"/>
          <w:bCs/>
          <w:sz w:val="24"/>
          <w:lang w:val="zh-CN"/>
        </w:rPr>
      </w:pPr>
      <w:r>
        <w:rPr>
          <w:rFonts w:hint="eastAsia" w:ascii="宋体" w:hAnsi="宋体"/>
          <w:bCs/>
          <w:sz w:val="24"/>
          <w:lang w:val="zh-CN"/>
        </w:rPr>
        <w:t>合同签订后供需双方即直接产生权利与义务的关系，合同执行过程中出现的问题应按照《民法典》的规定办理。</w:t>
      </w:r>
    </w:p>
    <w:p>
      <w:pPr>
        <w:numPr>
          <w:ilvl w:val="0"/>
          <w:numId w:val="18"/>
        </w:numPr>
        <w:spacing w:line="360" w:lineRule="auto"/>
        <w:ind w:firstLine="480" w:firstLineChars="200"/>
        <w:rPr>
          <w:rFonts w:ascii="宋体" w:hAnsi="宋体"/>
          <w:bCs/>
          <w:sz w:val="24"/>
          <w:lang w:val="zh-CN"/>
        </w:rPr>
      </w:pP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pPr>
        <w:numPr>
          <w:ilvl w:val="0"/>
          <w:numId w:val="18"/>
        </w:numPr>
        <w:spacing w:line="360" w:lineRule="auto"/>
        <w:ind w:firstLine="480" w:firstLineChars="200"/>
        <w:rPr>
          <w:rFonts w:ascii="宋体" w:hAnsi="宋体"/>
          <w:bCs/>
          <w:sz w:val="24"/>
          <w:lang w:val="zh-CN"/>
        </w:rPr>
      </w:pPr>
      <w:r>
        <w:rPr>
          <w:rFonts w:hint="eastAsia" w:ascii="宋体" w:hAnsi="宋体"/>
          <w:bCs/>
          <w:sz w:val="24"/>
          <w:lang w:val="zh-CN"/>
        </w:rPr>
        <w:t>本合同应按照中华人民共和国的现行法律进行解释。</w:t>
      </w:r>
    </w:p>
    <w:p>
      <w:pPr>
        <w:spacing w:line="360" w:lineRule="auto"/>
        <w:outlineLvl w:val="0"/>
        <w:rPr>
          <w:rFonts w:ascii="黑体" w:hAnsi="宋体" w:eastAsia="黑体" w:cs="Times New Roman"/>
          <w:sz w:val="32"/>
          <w:szCs w:val="32"/>
        </w:rPr>
      </w:pPr>
    </w:p>
    <w:p>
      <w:pPr>
        <w:spacing w:line="360" w:lineRule="auto"/>
        <w:jc w:val="center"/>
        <w:outlineLvl w:val="0"/>
        <w:rPr>
          <w:rFonts w:ascii="黑体" w:hAnsi="黑体" w:eastAsia="黑体"/>
          <w:sz w:val="28"/>
        </w:rPr>
      </w:pPr>
    </w:p>
    <w:p>
      <w:pPr>
        <w:spacing w:line="360" w:lineRule="auto"/>
        <w:outlineLvl w:val="0"/>
        <w:rPr>
          <w:rFonts w:ascii="黑体" w:hAnsi="黑体" w:eastAsia="黑体"/>
          <w:sz w:val="28"/>
        </w:rPr>
      </w:pPr>
      <w:bookmarkStart w:id="78" w:name="_Toc64637570"/>
    </w:p>
    <w:p>
      <w:pPr>
        <w:spacing w:line="360" w:lineRule="auto"/>
        <w:outlineLvl w:val="0"/>
        <w:rPr>
          <w:rFonts w:ascii="黑体" w:hAnsi="黑体" w:eastAsia="黑体"/>
          <w:sz w:val="28"/>
        </w:rPr>
      </w:pPr>
    </w:p>
    <w:p>
      <w:pPr>
        <w:spacing w:line="360" w:lineRule="auto"/>
        <w:outlineLvl w:val="0"/>
        <w:rPr>
          <w:rFonts w:ascii="黑体" w:hAnsi="黑体" w:eastAsia="黑体"/>
          <w:sz w:val="28"/>
        </w:rPr>
      </w:pPr>
    </w:p>
    <w:p>
      <w:pPr>
        <w:spacing w:line="360" w:lineRule="auto"/>
        <w:outlineLvl w:val="0"/>
        <w:rPr>
          <w:rFonts w:ascii="黑体" w:hAnsi="黑体" w:eastAsia="黑体"/>
          <w:sz w:val="28"/>
        </w:rPr>
      </w:pPr>
    </w:p>
    <w:p>
      <w:pPr>
        <w:pStyle w:val="2"/>
        <w:rPr>
          <w:rFonts w:ascii="黑体" w:hAnsi="黑体" w:eastAsia="黑体"/>
          <w:sz w:val="28"/>
        </w:rPr>
      </w:pPr>
    </w:p>
    <w:p>
      <w:pPr>
        <w:pStyle w:val="3"/>
        <w:rPr>
          <w:rFonts w:ascii="黑体" w:hAnsi="黑体" w:eastAsia="黑体"/>
          <w:sz w:val="28"/>
        </w:rPr>
      </w:pPr>
    </w:p>
    <w:p>
      <w:pPr>
        <w:rPr>
          <w:rFonts w:ascii="黑体" w:hAnsi="黑体" w:eastAsia="黑体"/>
          <w:sz w:val="28"/>
        </w:rPr>
      </w:pPr>
    </w:p>
    <w:p>
      <w:pPr>
        <w:pStyle w:val="2"/>
        <w:rPr>
          <w:rFonts w:ascii="黑体" w:hAnsi="黑体" w:eastAsia="黑体"/>
          <w:sz w:val="28"/>
        </w:rPr>
      </w:pPr>
    </w:p>
    <w:p/>
    <w:p>
      <w:pPr>
        <w:pStyle w:val="2"/>
      </w:pPr>
    </w:p>
    <w:p>
      <w:pPr>
        <w:pStyle w:val="3"/>
      </w:pPr>
    </w:p>
    <w:p/>
    <w:p>
      <w:pPr>
        <w:spacing w:line="360" w:lineRule="auto"/>
        <w:jc w:val="center"/>
        <w:outlineLvl w:val="0"/>
        <w:rPr>
          <w:rFonts w:ascii="黑体" w:hAnsi="黑体" w:eastAsia="黑体"/>
          <w:sz w:val="28"/>
        </w:rPr>
      </w:pPr>
      <w:bookmarkStart w:id="79" w:name="_Toc130196232"/>
      <w:r>
        <w:rPr>
          <w:rFonts w:hint="eastAsia" w:ascii="黑体" w:hAnsi="黑体" w:eastAsia="黑体"/>
          <w:sz w:val="28"/>
        </w:rPr>
        <w:t>第六章 投标文件（格式）</w:t>
      </w:r>
      <w:bookmarkEnd w:id="78"/>
      <w:bookmarkEnd w:id="79"/>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ascii="宋体" w:hAnsi="宋体"/>
          <w:b/>
          <w:sz w:val="32"/>
          <w:szCs w:val="32"/>
        </w:rPr>
      </w:pPr>
      <w:bookmarkStart w:id="81" w:name="_Toc2400"/>
      <w:r>
        <w:rPr>
          <w:rFonts w:hint="eastAsia" w:ascii="宋体" w:hAnsi="宋体"/>
          <w:b/>
          <w:sz w:val="32"/>
          <w:szCs w:val="32"/>
        </w:rPr>
        <w:t>项目编号：</w:t>
      </w:r>
      <w:bookmarkEnd w:id="81"/>
      <w:r>
        <w:rPr>
          <w:rFonts w:ascii="宋体" w:hAnsi="宋体"/>
          <w:b/>
          <w:sz w:val="32"/>
          <w:szCs w:val="32"/>
        </w:rPr>
        <w:t>YXGYJT202304013</w:t>
      </w:r>
      <w:r>
        <w:rPr>
          <w:rFonts w:hint="eastAsia" w:ascii="宋体" w:hAnsi="宋体"/>
          <w:sz w:val="32"/>
        </w:rPr>
        <w:t xml:space="preserve">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eastAsia="宋体"/>
          <w:b/>
          <w:bCs/>
          <w:sz w:val="52"/>
          <w:u w:val="single"/>
        </w:rPr>
      </w:pPr>
      <w:bookmarkStart w:id="82" w:name="_Toc10010"/>
      <w:r>
        <w:rPr>
          <w:rFonts w:hint="eastAsia" w:ascii="宋体" w:hAnsi="宋体"/>
          <w:b/>
          <w:sz w:val="32"/>
          <w:szCs w:val="32"/>
        </w:rPr>
        <w:t>项目名称：</w:t>
      </w:r>
      <w:bookmarkEnd w:id="82"/>
      <w:r>
        <w:rPr>
          <w:rFonts w:hint="eastAsia" w:ascii="宋体" w:hAnsi="宋体" w:eastAsia="宋体" w:cs="Times New Roman"/>
          <w:b/>
          <w:sz w:val="32"/>
          <w:szCs w:val="32"/>
          <w:u w:val="single"/>
        </w:rPr>
        <w:t>储配站及供应点安全现状评价</w:t>
      </w:r>
    </w:p>
    <w:p>
      <w:pPr>
        <w:rPr>
          <w:rFonts w:ascii="宋体" w:hAnsi="宋体"/>
          <w:b/>
          <w:sz w:val="32"/>
          <w:szCs w:val="32"/>
        </w:rPr>
      </w:pPr>
      <w:bookmarkStart w:id="83" w:name="_Toc8670"/>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w:t>
      </w:r>
      <w:r>
        <w:rPr>
          <w:rFonts w:hint="eastAsia" w:ascii="宋体" w:hAnsi="宋体"/>
          <w:b/>
          <w:sz w:val="32"/>
          <w:szCs w:val="32"/>
          <w:u w:val="single"/>
        </w:rPr>
        <w:t xml:space="preserve">      年    月    日</w:t>
      </w:r>
      <w:bookmarkEnd w:id="85"/>
    </w:p>
    <w:p>
      <w:pPr>
        <w:rPr>
          <w:rFonts w:ascii="楷体_GB2312" w:eastAsia="楷体_GB2312"/>
          <w:b/>
          <w:sz w:val="32"/>
          <w:szCs w:val="32"/>
        </w:rPr>
      </w:pPr>
    </w:p>
    <w:p>
      <w:pPr>
        <w:rPr>
          <w:rFonts w:ascii="楷体_GB2312" w:eastAsia="楷体_GB2312"/>
          <w:b/>
          <w:sz w:val="32"/>
          <w:szCs w:val="32"/>
        </w:rPr>
      </w:pPr>
    </w:p>
    <w:p>
      <w:pPr>
        <w:rPr>
          <w:rFonts w:ascii="宋体"/>
          <w:b/>
          <w:bCs/>
          <w:sz w:val="24"/>
          <w:szCs w:val="24"/>
        </w:rPr>
      </w:pPr>
      <w:bookmarkStart w:id="86" w:name="_Toc24602"/>
      <w:r>
        <w:rPr>
          <w:rFonts w:hint="eastAsia" w:ascii="黑体" w:hAnsi="宋体" w:eastAsia="黑体"/>
          <w:bCs/>
          <w:sz w:val="24"/>
          <w:szCs w:val="24"/>
        </w:rPr>
        <w:br w:type="page"/>
      </w:r>
      <w:bookmarkStart w:id="87" w:name="OLE_LINK24"/>
      <w:r>
        <w:rPr>
          <w:rFonts w:hint="eastAsia" w:ascii="黑体" w:hAnsi="宋体" w:eastAsia="黑体"/>
          <w:bCs/>
          <w:sz w:val="28"/>
          <w:szCs w:val="28"/>
        </w:rPr>
        <w:t>（一）投标函（格式）：</w:t>
      </w:r>
    </w:p>
    <w:bookmarkEnd w:id="87"/>
    <w:p>
      <w:pPr>
        <w:spacing w:beforeLines="50" w:afterLines="50" w:line="360" w:lineRule="auto"/>
        <w:jc w:val="center"/>
        <w:rPr>
          <w:rFonts w:ascii="黑体" w:eastAsia="黑体"/>
          <w:bCs/>
          <w:sz w:val="28"/>
          <w:szCs w:val="28"/>
        </w:rPr>
      </w:pPr>
      <w:r>
        <w:rPr>
          <w:rFonts w:hint="eastAsia" w:ascii="黑体" w:eastAsia="黑体"/>
          <w:bCs/>
          <w:sz w:val="28"/>
          <w:szCs w:val="28"/>
        </w:rPr>
        <w:t>投标函</w:t>
      </w:r>
    </w:p>
    <w:p>
      <w:pPr>
        <w:spacing w:line="360" w:lineRule="auto"/>
        <w:rPr>
          <w:rFonts w:ascii="宋体" w:hAnsi="宋体"/>
          <w:bCs/>
          <w:sz w:val="24"/>
          <w:lang w:val="zh-CN"/>
        </w:rPr>
      </w:pPr>
      <w:r>
        <w:rPr>
          <w:rFonts w:hint="eastAsia" w:ascii="宋体" w:hAnsi="宋体"/>
          <w:bCs/>
          <w:sz w:val="24"/>
          <w:lang w:val="zh-CN"/>
        </w:rPr>
        <w:t>致宜兴市公用燃气管理有限公司、：</w:t>
      </w:r>
    </w:p>
    <w:p>
      <w:pPr>
        <w:spacing w:line="360"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rPr>
        <w:t xml:space="preserve">    </w:t>
      </w:r>
      <w:r>
        <w:rPr>
          <w:rFonts w:hint="eastAsia" w:ascii="宋体" w:hAnsi="宋体"/>
          <w:bCs/>
          <w:sz w:val="24"/>
          <w:lang w:val="zh-CN"/>
        </w:rPr>
        <w:t>招标文件，经仔细阅读和研究，我方决定参加投标。</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我方愿意按照招标文件的一切要求，提供投标设备，投标总价详见《开标一览表》。</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我方已对照招标设备的技术参数要求，填写了投标设备的技术参数要求，详见《偏离表》。</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我方承诺本次采购项目清单中，若涉及到强制采购节能产品或信息安全产品的，将按照招标文件及法律法规要求提供相关产品。</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我方同意按招标文件中的规定，本投标文件的有效期为投标截止之日起的60天（含提交当日）。在特殊情况下，可与贵方协商延长投标文件的有效期。</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我方愿意根据贵方及评标委员会的要求，提供投标文件中所有材料的原件及相关证明性资料。</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r>
        <w:rPr>
          <w:rFonts w:hint="eastAsia" w:ascii="宋体" w:hAnsi="宋体"/>
          <w:bCs/>
          <w:sz w:val="24"/>
          <w:szCs w:val="24"/>
          <w:lang w:val="zh-CN"/>
        </w:rPr>
        <w:t>除因不可抗力或招标文件认可的情形以外，我方绝不放弃中标资格</w:t>
      </w:r>
      <w:r>
        <w:rPr>
          <w:rFonts w:hint="eastAsia" w:ascii="宋体" w:hAnsi="宋体"/>
          <w:bCs/>
          <w:sz w:val="24"/>
          <w:lang w:val="zh-CN"/>
        </w:rPr>
        <w:t>。</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我方愿意按《中华人民共和国民法典》和合同条款履行自己的全部责任。</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w:t>
      </w:r>
    </w:p>
    <w:p>
      <w:pPr>
        <w:numPr>
          <w:ilvl w:val="0"/>
          <w:numId w:val="19"/>
        </w:numPr>
        <w:spacing w:line="360" w:lineRule="auto"/>
        <w:ind w:firstLine="480" w:firstLineChars="200"/>
        <w:rPr>
          <w:rFonts w:ascii="宋体" w:hAnsi="宋体"/>
          <w:bCs/>
          <w:sz w:val="24"/>
          <w:lang w:val="zh-CN"/>
        </w:rPr>
      </w:pPr>
      <w:r>
        <w:rPr>
          <w:rFonts w:hint="eastAsia" w:ascii="宋体" w:hAnsi="宋体"/>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pPr>
        <w:spacing w:line="360" w:lineRule="auto"/>
        <w:rPr>
          <w:rFonts w:ascii="宋体" w:hAnsi="宋体"/>
          <w:bCs/>
          <w:sz w:val="24"/>
          <w:lang w:val="zh-CN"/>
        </w:rPr>
      </w:pPr>
    </w:p>
    <w:p>
      <w:pPr>
        <w:jc w:val="center"/>
        <w:rPr>
          <w:rFonts w:ascii="宋体" w:hAnsi="宋体"/>
          <w:bCs/>
          <w:sz w:val="24"/>
          <w:lang w:val="zh-CN"/>
        </w:rPr>
      </w:pPr>
      <w:bookmarkStart w:id="88" w:name="OLE_LINK34"/>
      <w:bookmarkStart w:id="89" w:name="OLE_LINK30"/>
      <w:r>
        <w:rPr>
          <w:rFonts w:hint="eastAsia" w:ascii="宋体" w:hAnsi="宋体"/>
          <w:bCs/>
          <w:sz w:val="24"/>
          <w:lang w:val="zh-CN"/>
        </w:rPr>
        <w:t>投标人签名：</w:t>
      </w:r>
    </w:p>
    <w:p>
      <w:pPr>
        <w:spacing w:line="360" w:lineRule="auto"/>
        <w:jc w:val="center"/>
        <w:rPr>
          <w:rFonts w:ascii="宋体" w:hAnsi="宋体"/>
          <w:bCs/>
          <w:sz w:val="24"/>
          <w:lang w:val="zh-CN"/>
        </w:rPr>
      </w:pPr>
      <w:bookmarkStart w:id="90" w:name="OLE_LINK28"/>
      <w:r>
        <w:rPr>
          <w:rFonts w:hint="eastAsia" w:ascii="宋体" w:hAnsi="宋体"/>
          <w:bCs/>
          <w:sz w:val="24"/>
          <w:lang w:val="zh-CN"/>
        </w:rPr>
        <w:t>投标人公章</w:t>
      </w:r>
      <w:bookmarkEnd w:id="90"/>
      <w:r>
        <w:rPr>
          <w:rFonts w:hint="eastAsia" w:ascii="宋体" w:hAnsi="宋体"/>
          <w:bCs/>
          <w:sz w:val="24"/>
          <w:lang w:val="zh-CN"/>
        </w:rPr>
        <w:t>：</w:t>
      </w:r>
    </w:p>
    <w:bookmarkEnd w:id="88"/>
    <w:bookmarkEnd w:id="89"/>
    <w:p>
      <w:pPr>
        <w:ind w:firstLine="480" w:firstLineChars="200"/>
        <w:rPr>
          <w:rFonts w:ascii="黑体" w:hAnsi="宋体" w:eastAsia="黑体"/>
          <w:bCs/>
          <w:sz w:val="24"/>
          <w:szCs w:val="24"/>
        </w:rPr>
      </w:pPr>
    </w:p>
    <w:p>
      <w:pPr>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p>
    <w:p>
      <w:pPr>
        <w:ind w:firstLine="480" w:firstLineChars="200"/>
        <w:jc w:val="left"/>
        <w:rPr>
          <w:rFonts w:ascii="宋体" w:hAnsi="宋体"/>
          <w:sz w:val="28"/>
          <w:szCs w:val="28"/>
        </w:rPr>
      </w:pPr>
      <w:r>
        <w:rPr>
          <w:rFonts w:hint="eastAsia" w:ascii="宋体" w:hAnsi="宋体" w:cs="宋体"/>
          <w:bCs/>
          <w:sz w:val="24"/>
          <w:szCs w:val="24"/>
        </w:rPr>
        <w:t>1、</w:t>
      </w:r>
      <w:r>
        <w:rPr>
          <w:rFonts w:hint="eastAsia" w:ascii="黑体" w:hAnsi="宋体" w:eastAsia="黑体"/>
          <w:bCs/>
          <w:sz w:val="24"/>
          <w:szCs w:val="24"/>
        </w:rPr>
        <w:t>开标一览表（格式）：</w:t>
      </w:r>
      <w:bookmarkEnd w:id="86"/>
    </w:p>
    <w:p>
      <w:pPr>
        <w:spacing w:line="360" w:lineRule="auto"/>
        <w:jc w:val="center"/>
        <w:rPr>
          <w:rFonts w:ascii="宋体" w:hAnsi="宋体"/>
          <w:sz w:val="24"/>
          <w:szCs w:val="24"/>
        </w:rPr>
      </w:pPr>
      <w:bookmarkStart w:id="91" w:name="_Toc32423"/>
      <w:r>
        <w:rPr>
          <w:rFonts w:hint="eastAsia" w:ascii="宋体" w:hAnsi="宋体"/>
          <w:sz w:val="24"/>
          <w:szCs w:val="24"/>
        </w:rPr>
        <w:t>开标一览表</w:t>
      </w:r>
      <w:bookmarkEnd w:id="91"/>
    </w:p>
    <w:p>
      <w:pPr>
        <w:spacing w:line="360" w:lineRule="auto"/>
        <w:jc w:val="center"/>
        <w:rPr>
          <w:rFonts w:ascii="宋体" w:hAnsi="宋体"/>
          <w:sz w:val="24"/>
          <w:szCs w:val="24"/>
        </w:rPr>
      </w:pPr>
      <w:bookmarkStart w:id="92" w:name="OLE_LINK31"/>
      <w:r>
        <w:rPr>
          <w:rFonts w:hint="eastAsia" w:ascii="宋体" w:hAnsi="宋体"/>
          <w:sz w:val="24"/>
          <w:szCs w:val="24"/>
        </w:rPr>
        <w:t>项目编号：</w:t>
      </w:r>
      <w:r>
        <w:rPr>
          <w:rFonts w:ascii="宋体" w:hAnsi="宋体"/>
          <w:sz w:val="24"/>
          <w:szCs w:val="24"/>
        </w:rPr>
        <w:t>YXGYJT202304013</w:t>
      </w:r>
      <w:r>
        <w:rPr>
          <w:rFonts w:hint="eastAsia" w:ascii="宋体" w:hAnsi="宋体"/>
          <w:sz w:val="24"/>
          <w:szCs w:val="24"/>
        </w:rPr>
        <w:t xml:space="preserve"> </w:t>
      </w:r>
    </w:p>
    <w:p>
      <w:pPr>
        <w:ind w:left="1"/>
        <w:jc w:val="center"/>
        <w:rPr>
          <w:rFonts w:ascii="宋体" w:hAnsi="宋体"/>
          <w:sz w:val="24"/>
          <w:szCs w:val="24"/>
        </w:rPr>
      </w:pPr>
      <w:r>
        <w:rPr>
          <w:rFonts w:hint="eastAsia" w:ascii="宋体" w:hAnsi="宋体"/>
          <w:sz w:val="24"/>
          <w:szCs w:val="24"/>
        </w:rPr>
        <w:t xml:space="preserve"> 投标人名称（盖章）：                                              单位：元</w:t>
      </w:r>
      <w:bookmarkEnd w:id="92"/>
    </w:p>
    <w:tbl>
      <w:tblPr>
        <w:tblStyle w:val="24"/>
        <w:tblW w:w="10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402"/>
        <w:gridCol w:w="1690"/>
        <w:gridCol w:w="2745"/>
        <w:gridCol w:w="1500"/>
        <w:gridCol w:w="1500"/>
        <w:gridCol w:w="159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09" w:hRule="atLeast"/>
          <w:jc w:val="center"/>
        </w:trPr>
        <w:tc>
          <w:tcPr>
            <w:tcW w:w="543" w:type="dxa"/>
            <w:vAlign w:val="center"/>
          </w:tcPr>
          <w:p>
            <w:pPr>
              <w:widowControl/>
              <w:jc w:val="center"/>
              <w:rPr>
                <w:rFonts w:ascii="宋体" w:hAnsi="宋体" w:eastAsia="宋体" w:cs="宋体"/>
                <w:kern w:val="0"/>
                <w:sz w:val="24"/>
                <w:szCs w:val="24"/>
              </w:rPr>
            </w:pPr>
            <w:bookmarkStart w:id="93" w:name="OLE_LINK32"/>
            <w:r>
              <w:rPr>
                <w:rFonts w:hint="eastAsia" w:ascii="宋体" w:hAnsi="宋体" w:eastAsia="宋体" w:cs="Times New Roman"/>
                <w:sz w:val="24"/>
                <w:szCs w:val="28"/>
              </w:rPr>
              <w:t>序号</w:t>
            </w:r>
          </w:p>
        </w:tc>
        <w:tc>
          <w:tcPr>
            <w:tcW w:w="140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690"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站点类别</w:t>
            </w:r>
          </w:p>
        </w:tc>
        <w:tc>
          <w:tcPr>
            <w:tcW w:w="2745"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站点名称</w:t>
            </w:r>
          </w:p>
        </w:tc>
        <w:tc>
          <w:tcPr>
            <w:tcW w:w="1500" w:type="dxa"/>
            <w:vAlign w:val="center"/>
          </w:tcPr>
          <w:p>
            <w:pPr>
              <w:jc w:val="center"/>
              <w:rPr>
                <w:rFonts w:ascii="宋体" w:hAnsi="宋体" w:eastAsia="宋体" w:cs="Times New Roman"/>
                <w:sz w:val="24"/>
                <w:szCs w:val="28"/>
              </w:rPr>
            </w:pPr>
            <w:r>
              <w:rPr>
                <w:rFonts w:hint="eastAsia" w:ascii="宋体" w:hAnsi="宋体" w:eastAsia="宋体" w:cs="Times New Roman"/>
                <w:sz w:val="24"/>
                <w:szCs w:val="28"/>
              </w:rPr>
              <w:t>含税分项费用报价</w:t>
            </w:r>
          </w:p>
        </w:tc>
        <w:tc>
          <w:tcPr>
            <w:tcW w:w="1500" w:type="dxa"/>
            <w:vAlign w:val="center"/>
          </w:tcPr>
          <w:p>
            <w:pPr>
              <w:jc w:val="center"/>
              <w:rPr>
                <w:rFonts w:ascii="宋体" w:hAnsi="宋体" w:eastAsia="宋体" w:cs="Times New Roman"/>
                <w:sz w:val="24"/>
                <w:szCs w:val="28"/>
              </w:rPr>
            </w:pPr>
            <w:r>
              <w:rPr>
                <w:rFonts w:hint="eastAsia" w:ascii="宋体" w:hAnsi="宋体" w:eastAsia="宋体" w:cs="Times New Roman"/>
                <w:sz w:val="24"/>
                <w:szCs w:val="28"/>
              </w:rPr>
              <w:t>不含税分项费用报价</w:t>
            </w:r>
          </w:p>
        </w:tc>
        <w:tc>
          <w:tcPr>
            <w:tcW w:w="1590" w:type="dxa"/>
            <w:vAlign w:val="center"/>
          </w:tcPr>
          <w:p>
            <w:pPr>
              <w:jc w:val="center"/>
              <w:rPr>
                <w:rFonts w:ascii="宋体" w:hAnsi="宋体" w:eastAsia="宋体" w:cs="Times New Roman"/>
                <w:sz w:val="24"/>
                <w:szCs w:val="28"/>
              </w:rPr>
            </w:pPr>
            <w:r>
              <w:rPr>
                <w:rFonts w:hint="eastAsia" w:ascii="宋体" w:hAnsi="宋体" w:eastAsia="宋体" w:cs="Times New Roman"/>
                <w:sz w:val="24"/>
                <w:szCs w:val="28"/>
              </w:rPr>
              <w:t>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6" w:hRule="atLeast"/>
          <w:jc w:val="center"/>
        </w:trPr>
        <w:tc>
          <w:tcPr>
            <w:tcW w:w="543"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02" w:type="dxa"/>
            <w:vMerge w:val="restar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安全现状评价</w:t>
            </w:r>
          </w:p>
        </w:tc>
        <w:tc>
          <w:tcPr>
            <w:tcW w:w="1690" w:type="dxa"/>
            <w:vMerge w:val="restart"/>
          </w:tcPr>
          <w:p>
            <w:pPr>
              <w:jc w:val="center"/>
              <w:rPr>
                <w:sz w:val="24"/>
                <w:szCs w:val="24"/>
              </w:rPr>
            </w:pPr>
          </w:p>
          <w:p>
            <w:pPr>
              <w:pStyle w:val="2"/>
              <w:rPr>
                <w:sz w:val="24"/>
                <w:szCs w:val="24"/>
              </w:rPr>
            </w:pPr>
          </w:p>
          <w:p>
            <w:pPr>
              <w:pStyle w:val="3"/>
              <w:rPr>
                <w:sz w:val="24"/>
                <w:szCs w:val="24"/>
              </w:rPr>
            </w:pPr>
          </w:p>
          <w:p>
            <w:pPr>
              <w:jc w:val="center"/>
              <w:rPr>
                <w:rFonts w:ascii="宋体" w:hAnsi="宋体" w:eastAsia="宋体" w:cs="宋体"/>
                <w:kern w:val="0"/>
                <w:sz w:val="24"/>
                <w:szCs w:val="24"/>
              </w:rPr>
            </w:pPr>
            <w:r>
              <w:rPr>
                <w:rFonts w:hint="eastAsia"/>
                <w:sz w:val="24"/>
                <w:szCs w:val="24"/>
              </w:rPr>
              <w:t>储配站</w:t>
            </w:r>
          </w:p>
        </w:tc>
        <w:tc>
          <w:tcPr>
            <w:tcW w:w="2745" w:type="dxa"/>
          </w:tcPr>
          <w:p>
            <w:pPr>
              <w:jc w:val="center"/>
              <w:rPr>
                <w:rFonts w:ascii="宋体" w:hAnsi="宋体" w:eastAsia="宋体" w:cs="宋体"/>
                <w:kern w:val="0"/>
                <w:sz w:val="24"/>
                <w:szCs w:val="24"/>
              </w:rPr>
            </w:pPr>
            <w:r>
              <w:rPr>
                <w:rFonts w:hint="eastAsia"/>
                <w:sz w:val="24"/>
                <w:szCs w:val="24"/>
              </w:rPr>
              <w:t>丁蜀储配站</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49" w:hRule="atLeast"/>
          <w:jc w:val="center"/>
        </w:trPr>
        <w:tc>
          <w:tcPr>
            <w:tcW w:w="543"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徐舍储配站</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88" w:hRule="atLeast"/>
          <w:jc w:val="center"/>
        </w:trPr>
        <w:tc>
          <w:tcPr>
            <w:tcW w:w="543"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张渚储配站</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91" w:hRule="atLeast"/>
          <w:jc w:val="center"/>
        </w:trPr>
        <w:tc>
          <w:tcPr>
            <w:tcW w:w="543"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万石储配站</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84" w:hRule="atLeast"/>
          <w:jc w:val="center"/>
        </w:trPr>
        <w:tc>
          <w:tcPr>
            <w:tcW w:w="543"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02" w:type="dxa"/>
            <w:vMerge w:val="continue"/>
            <w:vAlign w:val="center"/>
          </w:tcPr>
          <w:p>
            <w:pPr>
              <w:jc w:val="center"/>
              <w:rPr>
                <w:rFonts w:ascii="宋体" w:hAnsi="宋体" w:eastAsia="宋体" w:cs="宋体"/>
                <w:kern w:val="0"/>
                <w:sz w:val="24"/>
                <w:szCs w:val="24"/>
              </w:rPr>
            </w:pPr>
          </w:p>
        </w:tc>
        <w:tc>
          <w:tcPr>
            <w:tcW w:w="1690" w:type="dxa"/>
            <w:vMerge w:val="restart"/>
          </w:tcPr>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rFonts w:ascii="宋体" w:hAnsi="宋体" w:eastAsia="宋体" w:cs="宋体"/>
                <w:kern w:val="0"/>
                <w:sz w:val="24"/>
                <w:szCs w:val="24"/>
              </w:rPr>
            </w:pPr>
            <w:r>
              <w:rPr>
                <w:rFonts w:hint="eastAsia"/>
                <w:sz w:val="24"/>
                <w:szCs w:val="24"/>
              </w:rPr>
              <w:t>供应点</w:t>
            </w:r>
          </w:p>
        </w:tc>
        <w:tc>
          <w:tcPr>
            <w:tcW w:w="2745" w:type="dxa"/>
          </w:tcPr>
          <w:p>
            <w:pPr>
              <w:jc w:val="center"/>
              <w:rPr>
                <w:rFonts w:ascii="宋体" w:hAnsi="宋体" w:eastAsia="宋体" w:cs="宋体"/>
                <w:kern w:val="0"/>
                <w:sz w:val="24"/>
                <w:szCs w:val="24"/>
              </w:rPr>
            </w:pPr>
            <w:r>
              <w:rPr>
                <w:rFonts w:hint="eastAsia"/>
                <w:sz w:val="24"/>
                <w:szCs w:val="24"/>
              </w:rPr>
              <w:t>鲸塘供应点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7" w:hRule="atLeast"/>
          <w:jc w:val="center"/>
        </w:trPr>
        <w:tc>
          <w:tcPr>
            <w:tcW w:w="543"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杨巷中心供应点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杨巷（河西）供应点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新庄供应点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芳桥供应点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新建供应点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新街供应点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太华供应点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大浦供应点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城南（西花园点）供应点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城南（新城路点）供应点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堰头供应点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新芳供应点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西渚供应点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芳庄供应点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543"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402" w:type="dxa"/>
            <w:vMerge w:val="continue"/>
            <w:vAlign w:val="center"/>
          </w:tcPr>
          <w:p>
            <w:pPr>
              <w:jc w:val="center"/>
              <w:rPr>
                <w:rFonts w:ascii="宋体" w:hAnsi="宋体" w:eastAsia="宋体" w:cs="宋体"/>
                <w:kern w:val="0"/>
                <w:sz w:val="24"/>
                <w:szCs w:val="24"/>
              </w:rPr>
            </w:pPr>
          </w:p>
        </w:tc>
        <w:tc>
          <w:tcPr>
            <w:tcW w:w="1690" w:type="dxa"/>
            <w:vMerge w:val="continue"/>
          </w:tcPr>
          <w:p>
            <w:pPr>
              <w:rPr>
                <w:rFonts w:ascii="宋体" w:hAnsi="宋体" w:eastAsia="宋体" w:cs="宋体"/>
                <w:kern w:val="0"/>
                <w:sz w:val="24"/>
                <w:szCs w:val="24"/>
              </w:rPr>
            </w:pPr>
          </w:p>
        </w:tc>
        <w:tc>
          <w:tcPr>
            <w:tcW w:w="2745" w:type="dxa"/>
          </w:tcPr>
          <w:p>
            <w:pPr>
              <w:jc w:val="center"/>
              <w:rPr>
                <w:rFonts w:ascii="宋体" w:hAnsi="宋体" w:eastAsia="宋体" w:cs="宋体"/>
                <w:kern w:val="0"/>
                <w:sz w:val="24"/>
                <w:szCs w:val="24"/>
              </w:rPr>
            </w:pPr>
            <w:r>
              <w:rPr>
                <w:rFonts w:hint="eastAsia"/>
                <w:sz w:val="24"/>
                <w:szCs w:val="24"/>
              </w:rPr>
              <w:t>范道供应点</w:t>
            </w:r>
          </w:p>
        </w:tc>
        <w:tc>
          <w:tcPr>
            <w:tcW w:w="1500" w:type="dxa"/>
            <w:vAlign w:val="center"/>
          </w:tcPr>
          <w:p>
            <w:pPr>
              <w:widowControl/>
              <w:jc w:val="left"/>
              <w:rPr>
                <w:rFonts w:ascii="宋体" w:hAnsi="宋体" w:eastAsia="宋体" w:cs="宋体"/>
                <w:kern w:val="0"/>
                <w:sz w:val="24"/>
                <w:szCs w:val="24"/>
              </w:rPr>
            </w:pPr>
          </w:p>
        </w:tc>
        <w:tc>
          <w:tcPr>
            <w:tcW w:w="1500" w:type="dxa"/>
            <w:vAlign w:val="center"/>
          </w:tcPr>
          <w:p>
            <w:pPr>
              <w:widowControl/>
              <w:jc w:val="left"/>
              <w:rPr>
                <w:rFonts w:ascii="宋体" w:hAnsi="宋体" w:eastAsia="宋体" w:cs="宋体"/>
                <w:kern w:val="0"/>
                <w:sz w:val="24"/>
                <w:szCs w:val="24"/>
              </w:rPr>
            </w:pPr>
          </w:p>
        </w:tc>
        <w:tc>
          <w:tcPr>
            <w:tcW w:w="1590" w:type="dxa"/>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45" w:type="dxa"/>
            <w:gridSpan w:val="2"/>
            <w:vMerge w:val="restart"/>
            <w:vAlign w:val="center"/>
          </w:tcPr>
          <w:p>
            <w:pPr>
              <w:jc w:val="center"/>
              <w:rPr>
                <w:color w:val="000000"/>
              </w:rPr>
            </w:pPr>
            <w:r>
              <w:rPr>
                <w:rFonts w:hint="eastAsia"/>
                <w:color w:val="000000"/>
              </w:rPr>
              <w:t>合计</w:t>
            </w:r>
          </w:p>
        </w:tc>
        <w:tc>
          <w:tcPr>
            <w:tcW w:w="9032" w:type="dxa"/>
            <w:gridSpan w:val="6"/>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45" w:type="dxa"/>
            <w:gridSpan w:val="2"/>
            <w:vMerge w:val="continue"/>
            <w:vAlign w:val="center"/>
          </w:tcPr>
          <w:p>
            <w:pPr>
              <w:rPr>
                <w:color w:val="000000"/>
              </w:rPr>
            </w:pPr>
          </w:p>
        </w:tc>
        <w:tc>
          <w:tcPr>
            <w:tcW w:w="9032" w:type="dxa"/>
            <w:gridSpan w:val="6"/>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（大写）</w:t>
            </w:r>
          </w:p>
        </w:tc>
      </w:tr>
    </w:tbl>
    <w:p>
      <w:pPr>
        <w:jc w:val="left"/>
        <w:rPr>
          <w:rFonts w:ascii="宋体" w:hAnsi="宋体"/>
          <w:bCs/>
          <w:sz w:val="24"/>
          <w:lang w:val="zh-CN"/>
        </w:rPr>
      </w:pPr>
      <w:r>
        <w:rPr>
          <w:rFonts w:hint="eastAsia" w:ascii="宋体" w:hAnsi="宋体"/>
          <w:bCs/>
          <w:sz w:val="24"/>
          <w:lang w:val="zh-CN"/>
        </w:rPr>
        <w:t xml:space="preserve">投标人签名：                                                       </w:t>
      </w:r>
      <w:r>
        <w:rPr>
          <w:rFonts w:hint="eastAsia" w:ascii="宋体" w:hAnsi="宋体"/>
          <w:sz w:val="24"/>
          <w:szCs w:val="24"/>
        </w:rPr>
        <w:t>日期：</w:t>
      </w:r>
      <w:bookmarkEnd w:id="93"/>
    </w:p>
    <w:p>
      <w:pPr>
        <w:ind w:left="1" w:firstLine="420" w:firstLineChars="200"/>
        <w:jc w:val="left"/>
        <w:rPr>
          <w:rFonts w:ascii="宋体" w:hAnsi="宋体"/>
          <w:szCs w:val="21"/>
          <w:lang w:val="zh-CN"/>
        </w:rPr>
      </w:pPr>
      <w:r>
        <w:rPr>
          <w:rFonts w:hint="eastAsia" w:ascii="宋体" w:hAnsi="宋体"/>
          <w:szCs w:val="21"/>
          <w:lang w:val="zh-CN"/>
        </w:rPr>
        <w:t>注：</w:t>
      </w:r>
    </w:p>
    <w:p>
      <w:pPr>
        <w:numPr>
          <w:ilvl w:val="0"/>
          <w:numId w:val="20"/>
        </w:numPr>
        <w:ind w:left="0" w:firstLine="420" w:firstLineChars="200"/>
        <w:jc w:val="left"/>
        <w:rPr>
          <w:rFonts w:ascii="宋体" w:hAnsi="宋体"/>
          <w:szCs w:val="21"/>
          <w:lang w:val="zh-CN"/>
        </w:rPr>
      </w:pPr>
      <w:bookmarkStart w:id="94" w:name="_Toc4946"/>
      <w:r>
        <w:rPr>
          <w:rFonts w:hint="eastAsia" w:ascii="宋体" w:hAnsi="宋体"/>
          <w:szCs w:val="21"/>
          <w:lang w:val="zh-CN"/>
        </w:rPr>
        <w:t>投标报价应包含全部、辅助材料、调试、人力、机械、运输、装卸、仓储、各种税费（如遇税金政策性调整，投标价将同步进行调整）、劳保、专利技术、质保、政策性文件规定及合同包含的所有风险、责任等各项所有费用、支付给员工的工资和国家强制缴纳的各种社会保障资金，以及投标人认为需要的其他费用等；</w:t>
      </w:r>
    </w:p>
    <w:p>
      <w:pPr>
        <w:numPr>
          <w:ilvl w:val="0"/>
          <w:numId w:val="20"/>
        </w:numPr>
        <w:ind w:left="0" w:firstLine="420" w:firstLineChars="200"/>
        <w:jc w:val="left"/>
        <w:rPr>
          <w:rFonts w:ascii="宋体" w:hAnsi="宋体"/>
          <w:szCs w:val="21"/>
          <w:lang w:val="zh-CN"/>
        </w:rPr>
      </w:pPr>
      <w:r>
        <w:rPr>
          <w:rFonts w:hint="eastAsia" w:ascii="宋体" w:hAnsi="宋体"/>
          <w:szCs w:val="21"/>
          <w:lang w:val="zh-CN"/>
        </w:rPr>
        <w:t>每一项仅接受一个价格，投标文件应对《</w:t>
      </w:r>
      <w:bookmarkStart w:id="95" w:name="OLE_LINK15"/>
      <w:r>
        <w:rPr>
          <w:rFonts w:hint="eastAsia" w:ascii="宋体" w:hAnsi="宋体"/>
          <w:szCs w:val="21"/>
          <w:lang w:val="zh-CN"/>
        </w:rPr>
        <w:t>开标一览表</w:t>
      </w:r>
      <w:bookmarkEnd w:id="95"/>
      <w:r>
        <w:rPr>
          <w:rFonts w:hint="eastAsia" w:ascii="宋体" w:hAnsi="宋体"/>
          <w:szCs w:val="21"/>
          <w:lang w:val="zh-CN"/>
        </w:rPr>
        <w:t>》中的全部设备进行投标，只投其中部分设备者，投标无效；</w:t>
      </w:r>
    </w:p>
    <w:p>
      <w:pPr>
        <w:numPr>
          <w:ilvl w:val="0"/>
          <w:numId w:val="20"/>
        </w:numPr>
        <w:ind w:left="0" w:firstLine="420" w:firstLineChars="200"/>
        <w:jc w:val="left"/>
        <w:rPr>
          <w:rFonts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spacing w:beforeLines="50" w:afterLines="50"/>
        <w:rPr>
          <w:rFonts w:ascii="黑体" w:eastAsia="黑体"/>
          <w:bCs/>
          <w:sz w:val="28"/>
          <w:szCs w:val="28"/>
        </w:rPr>
      </w:pPr>
    </w:p>
    <w:p>
      <w:pPr>
        <w:spacing w:beforeLines="50" w:afterLines="50"/>
        <w:rPr>
          <w:rFonts w:ascii="黑体" w:eastAsia="黑体"/>
          <w:bCs/>
          <w:sz w:val="28"/>
          <w:szCs w:val="28"/>
        </w:rPr>
      </w:pPr>
    </w:p>
    <w:p>
      <w:pPr>
        <w:spacing w:beforeLines="50" w:afterLines="50"/>
        <w:rPr>
          <w:rFonts w:ascii="黑体" w:eastAsia="黑体"/>
          <w:bCs/>
          <w:sz w:val="28"/>
          <w:szCs w:val="28"/>
        </w:rPr>
      </w:pPr>
    </w:p>
    <w:p>
      <w:pPr>
        <w:spacing w:beforeLines="50" w:afterLines="50"/>
        <w:rPr>
          <w:rFonts w:ascii="黑体" w:eastAsia="黑体"/>
          <w:bCs/>
          <w:sz w:val="28"/>
          <w:szCs w:val="28"/>
        </w:rPr>
      </w:pPr>
    </w:p>
    <w:p>
      <w:pPr>
        <w:spacing w:beforeLines="50" w:afterLines="50"/>
        <w:rPr>
          <w:rFonts w:ascii="黑体" w:eastAsia="黑体"/>
          <w:bCs/>
          <w:sz w:val="28"/>
          <w:szCs w:val="28"/>
        </w:rPr>
      </w:pPr>
    </w:p>
    <w:p>
      <w:pPr>
        <w:spacing w:beforeLines="50" w:afterLines="50"/>
        <w:rPr>
          <w:rFonts w:ascii="黑体" w:eastAsia="黑体"/>
          <w:bCs/>
          <w:sz w:val="28"/>
          <w:szCs w:val="28"/>
        </w:rPr>
      </w:pPr>
    </w:p>
    <w:p>
      <w:pPr>
        <w:spacing w:beforeLines="50" w:afterLines="50"/>
        <w:rPr>
          <w:rFonts w:ascii="黑体" w:eastAsia="黑体"/>
          <w:bCs/>
          <w:sz w:val="28"/>
          <w:szCs w:val="28"/>
        </w:rPr>
      </w:pPr>
    </w:p>
    <w:p>
      <w:pPr>
        <w:spacing w:beforeLines="50" w:afterLines="50"/>
        <w:jc w:val="center"/>
        <w:rPr>
          <w:rFonts w:ascii="黑体" w:eastAsia="黑体"/>
          <w:bCs/>
          <w:sz w:val="28"/>
          <w:szCs w:val="28"/>
        </w:rPr>
      </w:pPr>
    </w:p>
    <w:p>
      <w:pPr>
        <w:jc w:val="left"/>
        <w:rPr>
          <w:rFonts w:ascii="宋体" w:hAnsi="宋体"/>
          <w:szCs w:val="21"/>
          <w:lang w:val="zh-CN"/>
        </w:rPr>
      </w:pPr>
      <w:r>
        <w:rPr>
          <w:rFonts w:ascii="宋体" w:hAnsi="宋体"/>
          <w:bCs/>
          <w:sz w:val="24"/>
          <w:szCs w:val="24"/>
          <w:lang w:val="zh-CN"/>
        </w:rPr>
        <w:br w:type="page"/>
      </w:r>
      <w:r>
        <w:rPr>
          <w:rFonts w:hint="eastAsia" w:ascii="黑体" w:hAnsi="宋体" w:eastAsia="黑体"/>
          <w:bCs/>
          <w:sz w:val="24"/>
          <w:szCs w:val="24"/>
        </w:rPr>
        <w:t>2、投标明细报价表（格式）：</w:t>
      </w:r>
      <w:bookmarkEnd w:id="94"/>
    </w:p>
    <w:p>
      <w:pPr>
        <w:jc w:val="center"/>
        <w:rPr>
          <w:rFonts w:ascii="黑体" w:hAnsi="黑体" w:eastAsia="黑体"/>
          <w:sz w:val="28"/>
          <w:szCs w:val="28"/>
        </w:rPr>
      </w:pPr>
      <w:r>
        <w:rPr>
          <w:rFonts w:hint="eastAsia" w:ascii="黑体" w:hAnsi="黑体" w:eastAsia="黑体"/>
          <w:sz w:val="28"/>
          <w:szCs w:val="28"/>
        </w:rPr>
        <w:t>投标明细报价表</w:t>
      </w:r>
    </w:p>
    <w:p>
      <w:pPr>
        <w:jc w:val="center"/>
        <w:rPr>
          <w:rFonts w:ascii="宋体" w:hAnsi="宋体"/>
          <w:sz w:val="28"/>
          <w:szCs w:val="28"/>
        </w:rPr>
      </w:pPr>
      <w:r>
        <w:rPr>
          <w:rFonts w:hint="eastAsia" w:ascii="宋体" w:hAnsi="宋体"/>
          <w:sz w:val="28"/>
          <w:szCs w:val="28"/>
        </w:rPr>
        <w:t>项目编号：</w:t>
      </w:r>
      <w:r>
        <w:rPr>
          <w:rFonts w:ascii="宋体" w:hAnsi="宋体"/>
          <w:sz w:val="28"/>
          <w:szCs w:val="28"/>
        </w:rPr>
        <w:t>YXGYJT202304013</w:t>
      </w:r>
      <w:r>
        <w:rPr>
          <w:rFonts w:hint="eastAsia" w:ascii="宋体" w:hAnsi="宋体"/>
          <w:sz w:val="28"/>
          <w:szCs w:val="28"/>
        </w:rPr>
        <w:t xml:space="preserve"> </w:t>
      </w:r>
    </w:p>
    <w:p>
      <w:pPr>
        <w:spacing w:beforeLines="50"/>
        <w:jc w:val="center"/>
        <w:rPr>
          <w:rFonts w:ascii="黑体" w:hAnsi="黑体" w:eastAsia="黑体"/>
          <w:sz w:val="28"/>
          <w:szCs w:val="28"/>
        </w:rPr>
      </w:pPr>
      <w:r>
        <w:rPr>
          <w:rFonts w:hint="eastAsia" w:ascii="宋体" w:hAnsi="宋体"/>
          <w:sz w:val="24"/>
          <w:szCs w:val="24"/>
        </w:rPr>
        <w:t xml:space="preserve"> 投标人名称（盖章）：                                              单位：元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08"/>
        <w:gridCol w:w="578"/>
        <w:gridCol w:w="1365"/>
        <w:gridCol w:w="1335"/>
        <w:gridCol w:w="1830"/>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52" w:type="dxa"/>
            <w:vAlign w:val="center"/>
          </w:tcPr>
          <w:p>
            <w:pPr>
              <w:spacing w:before="5"/>
              <w:jc w:val="center"/>
              <w:rPr>
                <w:rFonts w:ascii="Calibri" w:hAnsi="Calibri" w:eastAsia="宋体" w:cs="Times New Roman"/>
                <w:sz w:val="18"/>
              </w:rPr>
            </w:pPr>
            <w:bookmarkStart w:id="96" w:name="_Toc14859"/>
            <w:r>
              <w:rPr>
                <w:rFonts w:hint="eastAsia" w:ascii="Calibri" w:hAnsi="Calibri" w:eastAsia="宋体" w:cs="Times New Roman"/>
                <w:sz w:val="18"/>
              </w:rPr>
              <w:t>序号</w:t>
            </w:r>
          </w:p>
        </w:tc>
        <w:tc>
          <w:tcPr>
            <w:tcW w:w="1886" w:type="dxa"/>
            <w:gridSpan w:val="2"/>
            <w:vAlign w:val="center"/>
          </w:tcPr>
          <w:p>
            <w:pPr>
              <w:spacing w:before="5"/>
              <w:jc w:val="center"/>
              <w:rPr>
                <w:rFonts w:ascii="Calibri" w:hAnsi="Calibri" w:eastAsia="宋体" w:cs="Times New Roman"/>
                <w:sz w:val="18"/>
              </w:rPr>
            </w:pPr>
            <w:r>
              <w:rPr>
                <w:rFonts w:hint="eastAsia" w:ascii="Calibri" w:hAnsi="Calibri" w:eastAsia="宋体" w:cs="Times New Roman"/>
                <w:sz w:val="18"/>
              </w:rPr>
              <w:t>项目名称</w:t>
            </w:r>
          </w:p>
        </w:tc>
        <w:tc>
          <w:tcPr>
            <w:tcW w:w="1365" w:type="dxa"/>
            <w:vAlign w:val="center"/>
          </w:tcPr>
          <w:p>
            <w:pPr>
              <w:spacing w:before="5"/>
              <w:jc w:val="center"/>
              <w:rPr>
                <w:rFonts w:ascii="Calibri" w:hAnsi="Calibri" w:eastAsia="宋体" w:cs="Times New Roman"/>
                <w:sz w:val="18"/>
              </w:rPr>
            </w:pPr>
            <w:r>
              <w:rPr>
                <w:rFonts w:hint="eastAsia" w:ascii="Calibri" w:hAnsi="Calibri" w:eastAsia="宋体" w:cs="Times New Roman"/>
                <w:sz w:val="18"/>
              </w:rPr>
              <w:t>含税分项费用报价</w:t>
            </w:r>
          </w:p>
        </w:tc>
        <w:tc>
          <w:tcPr>
            <w:tcW w:w="1335" w:type="dxa"/>
            <w:vAlign w:val="center"/>
          </w:tcPr>
          <w:p>
            <w:pPr>
              <w:spacing w:before="5"/>
              <w:jc w:val="center"/>
              <w:rPr>
                <w:rFonts w:ascii="Calibri" w:hAnsi="Calibri" w:eastAsia="宋体" w:cs="Times New Roman"/>
                <w:sz w:val="18"/>
              </w:rPr>
            </w:pPr>
            <w:r>
              <w:rPr>
                <w:rFonts w:hint="eastAsia" w:ascii="Calibri" w:hAnsi="Calibri" w:eastAsia="宋体" w:cs="Times New Roman"/>
                <w:sz w:val="18"/>
              </w:rPr>
              <w:t>不含税分项费用报价</w:t>
            </w:r>
          </w:p>
        </w:tc>
        <w:tc>
          <w:tcPr>
            <w:tcW w:w="1830" w:type="dxa"/>
            <w:vAlign w:val="center"/>
          </w:tcPr>
          <w:p>
            <w:pPr>
              <w:spacing w:before="5"/>
              <w:jc w:val="center"/>
              <w:rPr>
                <w:rFonts w:ascii="Calibri" w:hAnsi="Calibri" w:eastAsia="宋体" w:cs="Times New Roman"/>
                <w:sz w:val="18"/>
              </w:rPr>
            </w:pPr>
            <w:r>
              <w:rPr>
                <w:rFonts w:ascii="Calibri" w:hAnsi="Calibri" w:eastAsia="宋体" w:cs="Times New Roman"/>
                <w:sz w:val="18"/>
              </w:rPr>
              <w:t>增值税税额</w:t>
            </w:r>
          </w:p>
        </w:tc>
        <w:tc>
          <w:tcPr>
            <w:tcW w:w="2703" w:type="dxa"/>
            <w:vAlign w:val="center"/>
          </w:tcPr>
          <w:p>
            <w:pPr>
              <w:spacing w:before="5"/>
              <w:jc w:val="center"/>
              <w:rPr>
                <w:rFonts w:ascii="Calibri" w:hAnsi="Calibri" w:eastAsia="宋体" w:cs="Times New Roman"/>
                <w:sz w:val="18"/>
              </w:rPr>
            </w:pPr>
            <w:r>
              <w:rPr>
                <w:rFonts w:hint="eastAsia" w:ascii="Calibri" w:hAnsi="Calibri" w:eastAsia="宋体" w:cs="Times New Roman"/>
                <w:sz w:val="18"/>
              </w:rPr>
              <w:t>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vAlign w:val="center"/>
          </w:tcPr>
          <w:p>
            <w:pPr>
              <w:spacing w:before="5"/>
              <w:jc w:val="center"/>
              <w:rPr>
                <w:rFonts w:ascii="Calibri" w:hAnsi="Calibri" w:eastAsia="宋体" w:cs="Times New Roman"/>
                <w:sz w:val="18"/>
              </w:rPr>
            </w:pPr>
          </w:p>
        </w:tc>
        <w:tc>
          <w:tcPr>
            <w:tcW w:w="1886" w:type="dxa"/>
            <w:gridSpan w:val="2"/>
            <w:vAlign w:val="center"/>
          </w:tcPr>
          <w:p>
            <w:pPr>
              <w:spacing w:before="5"/>
              <w:jc w:val="center"/>
              <w:rPr>
                <w:rFonts w:ascii="Calibri" w:hAnsi="Calibri" w:eastAsia="宋体" w:cs="Times New Roman"/>
                <w:sz w:val="18"/>
              </w:rPr>
            </w:pPr>
          </w:p>
        </w:tc>
        <w:tc>
          <w:tcPr>
            <w:tcW w:w="1365" w:type="dxa"/>
            <w:vAlign w:val="center"/>
          </w:tcPr>
          <w:p>
            <w:pPr>
              <w:spacing w:before="5"/>
              <w:jc w:val="center"/>
              <w:rPr>
                <w:rFonts w:ascii="Calibri" w:hAnsi="Calibri" w:eastAsia="宋体" w:cs="Times New Roman"/>
                <w:sz w:val="18"/>
              </w:rPr>
            </w:pPr>
          </w:p>
        </w:tc>
        <w:tc>
          <w:tcPr>
            <w:tcW w:w="1335" w:type="dxa"/>
            <w:vAlign w:val="center"/>
          </w:tcPr>
          <w:p>
            <w:pPr>
              <w:spacing w:before="5"/>
              <w:jc w:val="center"/>
              <w:rPr>
                <w:rFonts w:ascii="Calibri" w:hAnsi="Calibri" w:eastAsia="宋体" w:cs="Times New Roman"/>
                <w:sz w:val="18"/>
              </w:rPr>
            </w:pPr>
          </w:p>
        </w:tc>
        <w:tc>
          <w:tcPr>
            <w:tcW w:w="1830" w:type="dxa"/>
            <w:vAlign w:val="center"/>
          </w:tcPr>
          <w:p>
            <w:pPr>
              <w:spacing w:before="5"/>
              <w:jc w:val="center"/>
              <w:rPr>
                <w:rFonts w:ascii="Calibri" w:hAnsi="Calibri" w:eastAsia="宋体" w:cs="Times New Roman"/>
                <w:sz w:val="18"/>
              </w:rPr>
            </w:pPr>
          </w:p>
        </w:tc>
        <w:tc>
          <w:tcPr>
            <w:tcW w:w="2703" w:type="dxa"/>
            <w:vAlign w:val="center"/>
          </w:tcPr>
          <w:p>
            <w:pPr>
              <w:spacing w:before="5"/>
              <w:jc w:val="center"/>
              <w:rPr>
                <w:rFonts w:ascii="Calibri" w:hAnsi="Calibri"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2" w:type="dxa"/>
            <w:vAlign w:val="center"/>
          </w:tcPr>
          <w:p>
            <w:pPr>
              <w:spacing w:before="5"/>
              <w:jc w:val="center"/>
              <w:rPr>
                <w:rFonts w:ascii="Calibri" w:hAnsi="Calibri" w:eastAsia="宋体" w:cs="Times New Roman"/>
                <w:sz w:val="18"/>
              </w:rPr>
            </w:pPr>
          </w:p>
        </w:tc>
        <w:tc>
          <w:tcPr>
            <w:tcW w:w="1886" w:type="dxa"/>
            <w:gridSpan w:val="2"/>
            <w:vAlign w:val="center"/>
          </w:tcPr>
          <w:p>
            <w:pPr>
              <w:spacing w:before="5"/>
              <w:jc w:val="center"/>
              <w:rPr>
                <w:rFonts w:ascii="Calibri" w:hAnsi="Calibri" w:eastAsia="宋体" w:cs="Times New Roman"/>
                <w:sz w:val="18"/>
              </w:rPr>
            </w:pPr>
          </w:p>
        </w:tc>
        <w:tc>
          <w:tcPr>
            <w:tcW w:w="1365" w:type="dxa"/>
            <w:vAlign w:val="center"/>
          </w:tcPr>
          <w:p>
            <w:pPr>
              <w:spacing w:before="5"/>
              <w:jc w:val="center"/>
              <w:rPr>
                <w:rFonts w:ascii="Calibri" w:hAnsi="Calibri" w:eastAsia="宋体" w:cs="Times New Roman"/>
                <w:sz w:val="18"/>
              </w:rPr>
            </w:pPr>
          </w:p>
        </w:tc>
        <w:tc>
          <w:tcPr>
            <w:tcW w:w="1335" w:type="dxa"/>
            <w:vAlign w:val="center"/>
          </w:tcPr>
          <w:p>
            <w:pPr>
              <w:spacing w:before="5"/>
              <w:jc w:val="center"/>
              <w:rPr>
                <w:rFonts w:ascii="Calibri" w:hAnsi="Calibri" w:eastAsia="宋体" w:cs="Times New Roman"/>
                <w:sz w:val="18"/>
              </w:rPr>
            </w:pPr>
          </w:p>
        </w:tc>
        <w:tc>
          <w:tcPr>
            <w:tcW w:w="1830" w:type="dxa"/>
            <w:vAlign w:val="center"/>
          </w:tcPr>
          <w:p>
            <w:pPr>
              <w:spacing w:before="5"/>
              <w:jc w:val="center"/>
              <w:rPr>
                <w:rFonts w:ascii="Calibri" w:hAnsi="Calibri" w:eastAsia="宋体" w:cs="Times New Roman"/>
                <w:sz w:val="18"/>
              </w:rPr>
            </w:pPr>
          </w:p>
        </w:tc>
        <w:tc>
          <w:tcPr>
            <w:tcW w:w="2703" w:type="dxa"/>
            <w:vAlign w:val="center"/>
          </w:tcPr>
          <w:p>
            <w:pPr>
              <w:spacing w:before="5"/>
              <w:jc w:val="center"/>
              <w:rPr>
                <w:rFonts w:ascii="Calibri" w:hAnsi="Calibri"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538" w:type="dxa"/>
            <w:gridSpan w:val="3"/>
            <w:vAlign w:val="center"/>
          </w:tcPr>
          <w:p>
            <w:pPr>
              <w:spacing w:before="5"/>
              <w:jc w:val="center"/>
              <w:rPr>
                <w:rFonts w:ascii="Calibri" w:hAnsi="Calibri" w:eastAsia="宋体" w:cs="Times New Roman"/>
                <w:sz w:val="18"/>
              </w:rPr>
            </w:pPr>
            <w:r>
              <w:rPr>
                <w:rFonts w:hint="eastAsia" w:ascii="Calibri" w:hAnsi="Calibri" w:eastAsia="宋体" w:cs="Times New Roman"/>
                <w:sz w:val="18"/>
              </w:rPr>
              <w:t>合计（小写）</w:t>
            </w:r>
          </w:p>
        </w:tc>
        <w:tc>
          <w:tcPr>
            <w:tcW w:w="7233" w:type="dxa"/>
            <w:gridSpan w:val="4"/>
            <w:vAlign w:val="center"/>
          </w:tcPr>
          <w:p>
            <w:pPr>
              <w:spacing w:before="5"/>
              <w:jc w:val="center"/>
              <w:rPr>
                <w:rFonts w:ascii="Calibri" w:hAnsi="Calibri"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60" w:type="dxa"/>
            <w:gridSpan w:val="2"/>
            <w:vAlign w:val="center"/>
          </w:tcPr>
          <w:p>
            <w:pPr>
              <w:jc w:val="left"/>
              <w:rPr>
                <w:rFonts w:ascii="宋体" w:hAnsi="Calibri" w:eastAsia="宋体" w:cs="Times New Roman"/>
                <w:b/>
                <w:bCs/>
                <w:sz w:val="24"/>
              </w:rPr>
            </w:pPr>
            <w:r>
              <w:rPr>
                <w:rFonts w:hint="eastAsia" w:ascii="宋体" w:hAnsi="Calibri" w:eastAsia="宋体" w:cs="Times New Roman"/>
                <w:b/>
                <w:bCs/>
                <w:sz w:val="24"/>
              </w:rPr>
              <w:t>服务期</w:t>
            </w:r>
          </w:p>
        </w:tc>
        <w:tc>
          <w:tcPr>
            <w:tcW w:w="7811" w:type="dxa"/>
            <w:gridSpan w:val="5"/>
            <w:vAlign w:val="center"/>
          </w:tcPr>
          <w:p>
            <w:pPr>
              <w:jc w:val="left"/>
              <w:rPr>
                <w:rFonts w:ascii="宋体" w:hAnsi="Calibri"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2" w:type="dxa"/>
            <w:vMerge w:val="restart"/>
            <w:vAlign w:val="center"/>
          </w:tcPr>
          <w:p>
            <w:pPr>
              <w:pStyle w:val="22"/>
              <w:spacing w:line="400" w:lineRule="exact"/>
              <w:ind w:firstLine="120" w:firstLineChars="50"/>
              <w:rPr>
                <w:rFonts w:ascii="宋体" w:hAnsi="宋体"/>
                <w:b/>
                <w:bCs/>
                <w:sz w:val="24"/>
                <w:szCs w:val="24"/>
              </w:rPr>
            </w:pPr>
            <w:r>
              <w:rPr>
                <w:rFonts w:hint="eastAsia" w:ascii="宋体" w:hAnsi="宋体"/>
                <w:b/>
                <w:bCs/>
                <w:sz w:val="24"/>
                <w:szCs w:val="24"/>
              </w:rPr>
              <w:t>服</w:t>
            </w:r>
          </w:p>
          <w:p>
            <w:pPr>
              <w:pStyle w:val="22"/>
              <w:spacing w:line="400" w:lineRule="exact"/>
              <w:ind w:firstLine="120" w:firstLineChars="50"/>
              <w:rPr>
                <w:rFonts w:ascii="宋体" w:hAnsi="宋体"/>
                <w:b/>
                <w:bCs/>
                <w:sz w:val="24"/>
                <w:szCs w:val="24"/>
              </w:rPr>
            </w:pPr>
            <w:r>
              <w:rPr>
                <w:rFonts w:hint="eastAsia" w:ascii="宋体" w:hAnsi="宋体"/>
                <w:b/>
                <w:bCs/>
                <w:sz w:val="24"/>
                <w:szCs w:val="24"/>
              </w:rPr>
              <w:t>务</w:t>
            </w:r>
          </w:p>
          <w:p>
            <w:pPr>
              <w:pStyle w:val="22"/>
              <w:spacing w:line="400" w:lineRule="exact"/>
              <w:ind w:firstLine="120" w:firstLineChars="50"/>
              <w:rPr>
                <w:rFonts w:ascii="宋体" w:hAnsi="宋体"/>
                <w:b/>
                <w:bCs/>
                <w:sz w:val="24"/>
                <w:szCs w:val="24"/>
              </w:rPr>
            </w:pPr>
            <w:r>
              <w:rPr>
                <w:rFonts w:hint="eastAsia" w:ascii="宋体" w:hAnsi="宋体"/>
                <w:b/>
                <w:bCs/>
                <w:sz w:val="24"/>
                <w:szCs w:val="24"/>
              </w:rPr>
              <w:t>承</w:t>
            </w:r>
          </w:p>
          <w:p>
            <w:pPr>
              <w:spacing w:before="5"/>
              <w:jc w:val="center"/>
              <w:rPr>
                <w:rFonts w:ascii="Calibri" w:hAnsi="Calibri" w:eastAsia="宋体" w:cs="Times New Roman"/>
                <w:sz w:val="18"/>
              </w:rPr>
            </w:pPr>
            <w:r>
              <w:rPr>
                <w:rFonts w:hint="eastAsia" w:ascii="宋体" w:hAnsi="宋体" w:eastAsia="宋体" w:cs="Times New Roman"/>
                <w:b/>
                <w:bCs/>
                <w:sz w:val="24"/>
                <w:szCs w:val="24"/>
              </w:rPr>
              <w:t>诺</w:t>
            </w:r>
          </w:p>
        </w:tc>
        <w:tc>
          <w:tcPr>
            <w:tcW w:w="9119" w:type="dxa"/>
            <w:gridSpan w:val="6"/>
            <w:vAlign w:val="center"/>
          </w:tcPr>
          <w:p>
            <w:pPr>
              <w:numPr>
                <w:ilvl w:val="0"/>
                <w:numId w:val="21"/>
              </w:numPr>
              <w:rPr>
                <w:rFonts w:ascii="宋体" w:hAnsi="宋体" w:eastAsia="宋体" w:cs="Times New Roman"/>
                <w:bCs/>
                <w:sz w:val="24"/>
                <w:szCs w:val="24"/>
              </w:rPr>
            </w:pPr>
            <w:r>
              <w:rPr>
                <w:rFonts w:hint="eastAsia" w:ascii="宋体" w:hAnsi="宋体" w:eastAsia="宋体" w:cs="Times New Roman"/>
                <w:bCs/>
                <w:sz w:val="24"/>
                <w:szCs w:val="24"/>
              </w:rPr>
              <w:t>质量</w:t>
            </w:r>
            <w:r>
              <w:rPr>
                <w:rFonts w:ascii="宋体" w:hAnsi="宋体" w:eastAsia="宋体" w:cs="Times New Roman"/>
                <w:bCs/>
                <w:sz w:val="24"/>
                <w:szCs w:val="24"/>
              </w:rPr>
              <w:t xml:space="preserve"> 2."</w:t>
            </w:r>
            <w:r>
              <w:rPr>
                <w:rFonts w:hint="eastAsia" w:ascii="宋体" w:hAnsi="宋体" w:eastAsia="宋体" w:cs="Times New Roman"/>
                <w:bCs/>
                <w:sz w:val="24"/>
                <w:szCs w:val="24"/>
              </w:rPr>
              <w:t>三包</w:t>
            </w:r>
            <w:r>
              <w:rPr>
                <w:rFonts w:ascii="宋体" w:hAnsi="宋体" w:eastAsia="宋体" w:cs="Times New Roman"/>
                <w:bCs/>
                <w:sz w:val="24"/>
                <w:szCs w:val="24"/>
              </w:rPr>
              <w:t>"(</w:t>
            </w:r>
            <w:r>
              <w:rPr>
                <w:rFonts w:hint="eastAsia" w:ascii="宋体" w:hAnsi="宋体" w:eastAsia="宋体" w:cs="Times New Roman"/>
                <w:bCs/>
                <w:sz w:val="24"/>
                <w:szCs w:val="24"/>
              </w:rPr>
              <w:t>包修、包退、包换)3</w:t>
            </w:r>
            <w:r>
              <w:rPr>
                <w:rFonts w:ascii="宋体" w:hAnsi="宋体" w:eastAsia="宋体" w:cs="Times New Roman"/>
                <w:bCs/>
                <w:sz w:val="24"/>
                <w:szCs w:val="24"/>
              </w:rPr>
              <w:t>.</w:t>
            </w:r>
            <w:r>
              <w:rPr>
                <w:rFonts w:hint="eastAsia" w:ascii="宋体" w:hAnsi="宋体" w:eastAsia="宋体" w:cs="Times New Roman"/>
                <w:bCs/>
                <w:sz w:val="24"/>
                <w:szCs w:val="24"/>
              </w:rPr>
              <w:t>其他承诺</w:t>
            </w:r>
          </w:p>
          <w:p>
            <w:pPr>
              <w:spacing w:before="5"/>
              <w:jc w:val="left"/>
              <w:rPr>
                <w:rFonts w:ascii="Calibri" w:hAnsi="Calibri" w:eastAsia="宋体" w:cs="Times New Roman"/>
                <w:sz w:val="18"/>
              </w:rPr>
            </w:pPr>
            <w:r>
              <w:rPr>
                <w:rFonts w:hint="eastAsia" w:ascii="宋体" w:hAnsi="宋体" w:eastAsia="宋体" w:cs="Times New Roman"/>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52" w:type="dxa"/>
            <w:vMerge w:val="continue"/>
            <w:vAlign w:val="center"/>
          </w:tcPr>
          <w:p>
            <w:pPr>
              <w:spacing w:before="5"/>
              <w:jc w:val="center"/>
              <w:rPr>
                <w:rFonts w:ascii="Calibri" w:hAnsi="Calibri" w:eastAsia="宋体" w:cs="Times New Roman"/>
                <w:sz w:val="18"/>
              </w:rPr>
            </w:pPr>
          </w:p>
        </w:tc>
        <w:tc>
          <w:tcPr>
            <w:tcW w:w="9119" w:type="dxa"/>
            <w:gridSpan w:val="6"/>
            <w:vAlign w:val="center"/>
          </w:tcPr>
          <w:p>
            <w:pPr>
              <w:spacing w:before="5"/>
              <w:jc w:val="left"/>
              <w:rPr>
                <w:rFonts w:ascii="宋体" w:hAnsi="宋体" w:eastAsia="宋体" w:cs="Times New Roman"/>
                <w:b/>
                <w:bCs/>
                <w:sz w:val="24"/>
                <w:szCs w:val="24"/>
              </w:rPr>
            </w:pPr>
            <w:r>
              <w:rPr>
                <w:rFonts w:hint="eastAsia" w:ascii="宋体" w:hAnsi="宋体" w:eastAsia="宋体" w:cs="Times New Roman"/>
                <w:b/>
                <w:bCs/>
                <w:sz w:val="24"/>
                <w:szCs w:val="24"/>
              </w:rPr>
              <w:t>合理化建议：</w:t>
            </w:r>
          </w:p>
          <w:p>
            <w:pPr>
              <w:spacing w:before="5"/>
              <w:jc w:val="left"/>
              <w:rPr>
                <w:rFonts w:ascii="宋体" w:hAnsi="宋体" w:eastAsia="宋体" w:cs="Times New Roman"/>
                <w:b/>
                <w:bCs/>
                <w:sz w:val="24"/>
                <w:szCs w:val="24"/>
              </w:rPr>
            </w:pPr>
          </w:p>
          <w:p>
            <w:pPr>
              <w:spacing w:before="5"/>
              <w:jc w:val="left"/>
              <w:rPr>
                <w:rFonts w:ascii="Calibri" w:hAnsi="Calibri" w:eastAsia="宋体" w:cs="Times New Roman"/>
                <w:sz w:val="18"/>
              </w:rPr>
            </w:pPr>
          </w:p>
        </w:tc>
      </w:tr>
    </w:tbl>
    <w:p>
      <w:pPr>
        <w:spacing w:line="360" w:lineRule="auto"/>
        <w:rPr>
          <w:rFonts w:ascii="宋体" w:hAnsi="宋体"/>
          <w:b/>
          <w:szCs w:val="21"/>
        </w:rPr>
      </w:pPr>
      <w:r>
        <w:rPr>
          <w:rFonts w:hint="eastAsia" w:ascii="宋体" w:hAnsi="宋体"/>
          <w:bCs/>
          <w:sz w:val="24"/>
          <w:lang w:val="zh-CN"/>
        </w:rPr>
        <w:t>投标人签名：</w:t>
      </w:r>
      <w:r>
        <w:rPr>
          <w:rFonts w:hint="eastAsia" w:ascii="宋体" w:hAnsi="宋体"/>
          <w:sz w:val="24"/>
          <w:szCs w:val="24"/>
        </w:rPr>
        <w:t>日期：</w:t>
      </w:r>
    </w:p>
    <w:p>
      <w:pPr>
        <w:spacing w:line="360" w:lineRule="auto"/>
        <w:rPr>
          <w:rFonts w:ascii="宋体" w:hAnsi="宋体"/>
          <w:bCs/>
          <w:szCs w:val="21"/>
        </w:rPr>
      </w:pPr>
      <w:bookmarkStart w:id="97" w:name="OLE_LINK149"/>
      <w:bookmarkStart w:id="98" w:name="OLE_LINK234"/>
      <w:r>
        <w:rPr>
          <w:rFonts w:hint="eastAsia" w:ascii="宋体" w:hAnsi="宋体"/>
          <w:b/>
          <w:szCs w:val="21"/>
        </w:rPr>
        <w:t>注：</w:t>
      </w:r>
      <w:bookmarkEnd w:id="96"/>
      <w:bookmarkStart w:id="99" w:name="_Toc13985"/>
      <w:r>
        <w:rPr>
          <w:rFonts w:hint="eastAsia" w:ascii="宋体" w:hAnsi="宋体"/>
          <w:bCs/>
          <w:szCs w:val="21"/>
        </w:rPr>
        <w:t xml:space="preserve"> （1）投标人应当根据“第三章 项目技术要求和有关说明”的内容在上表中详细填写，须包括本次招标的所有细项；</w:t>
      </w:r>
      <w:bookmarkEnd w:id="99"/>
      <w:r>
        <w:rPr>
          <w:rFonts w:hint="eastAsia" w:ascii="宋体" w:hAnsi="宋体"/>
          <w:bCs/>
          <w:szCs w:val="21"/>
        </w:rPr>
        <w:t>“投标明细报价表”合计需与“开标一览表”合计一致。</w:t>
      </w:r>
    </w:p>
    <w:p>
      <w:pPr>
        <w:ind w:left="420"/>
        <w:jc w:val="left"/>
        <w:rPr>
          <w:rFonts w:ascii="宋体" w:hAnsi="宋体"/>
          <w:bCs/>
          <w:szCs w:val="21"/>
        </w:rPr>
      </w:pPr>
      <w:r>
        <w:rPr>
          <w:rFonts w:hint="eastAsia" w:ascii="宋体" w:hAnsi="宋体"/>
          <w:bCs/>
          <w:szCs w:val="21"/>
        </w:rPr>
        <w:t>（2）表格不够可自行延长。</w:t>
      </w:r>
      <w:bookmarkEnd w:id="97"/>
      <w:bookmarkEnd w:id="98"/>
      <w:bookmarkStart w:id="100" w:name="OLE_LINK235"/>
      <w:bookmarkStart w:id="101" w:name="_Toc8000"/>
    </w:p>
    <w:p>
      <w:pPr>
        <w:jc w:val="left"/>
        <w:rPr>
          <w:rFonts w:ascii="宋体" w:hAnsi="宋体"/>
          <w:bCs/>
          <w:szCs w:val="21"/>
        </w:rPr>
      </w:pPr>
    </w:p>
    <w:p>
      <w:pPr>
        <w:jc w:val="left"/>
        <w:rPr>
          <w:rFonts w:ascii="宋体" w:hAnsi="宋体"/>
          <w:bCs/>
          <w:szCs w:val="21"/>
        </w:rPr>
      </w:pPr>
    </w:p>
    <w:p>
      <w:pPr>
        <w:jc w:val="left"/>
        <w:rPr>
          <w:rFonts w:ascii="宋体" w:hAnsi="宋体"/>
          <w:bCs/>
          <w:szCs w:val="21"/>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bookmarkEnd w:id="100"/>
    <w:p>
      <w:pPr>
        <w:rPr>
          <w:rFonts w:ascii="黑体" w:hAnsi="宋体" w:eastAsia="黑体"/>
          <w:bCs/>
          <w:sz w:val="28"/>
          <w:szCs w:val="28"/>
        </w:rPr>
      </w:pPr>
    </w:p>
    <w:p>
      <w:pPr>
        <w:rPr>
          <w:rFonts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Lines="50" w:afterLines="50"/>
        <w:jc w:val="center"/>
        <w:rPr>
          <w:rFonts w:ascii="黑体" w:eastAsia="黑体"/>
          <w:bCs/>
          <w:sz w:val="32"/>
        </w:rPr>
      </w:pPr>
      <w:bookmarkStart w:id="102" w:name="报价方关于资格的声明函（格式）"/>
      <w:bookmarkEnd w:id="102"/>
      <w:bookmarkStart w:id="103" w:name="_Toc24943"/>
      <w:r>
        <w:rPr>
          <w:rFonts w:hint="eastAsia" w:ascii="黑体" w:eastAsia="黑体"/>
          <w:bCs/>
          <w:sz w:val="28"/>
          <w:szCs w:val="28"/>
        </w:rPr>
        <w:t>关于资格的声明函</w:t>
      </w:r>
      <w:bookmarkEnd w:id="103"/>
    </w:p>
    <w:p>
      <w:pPr>
        <w:spacing w:line="480" w:lineRule="auto"/>
        <w:ind w:right="480" w:firstLine="5520" w:firstLineChars="2300"/>
        <w:rPr>
          <w:rFonts w:ascii="宋体"/>
          <w:bCs/>
          <w:sz w:val="24"/>
          <w:szCs w:val="24"/>
        </w:rPr>
      </w:pPr>
      <w:bookmarkStart w:id="104" w:name="OLE_LINK80"/>
      <w:r>
        <w:rPr>
          <w:rFonts w:hint="eastAsia" w:ascii="宋体" w:hAnsi="宋体"/>
          <w:bCs/>
          <w:sz w:val="24"/>
          <w:szCs w:val="24"/>
        </w:rPr>
        <w:t>项目编号：</w:t>
      </w:r>
      <w:r>
        <w:rPr>
          <w:rFonts w:ascii="宋体" w:hAnsi="宋体"/>
          <w:bCs/>
          <w:sz w:val="24"/>
          <w:szCs w:val="24"/>
        </w:rPr>
        <w:t>YXGYJT202304013</w:t>
      </w:r>
      <w:r>
        <w:rPr>
          <w:rFonts w:hint="eastAsia" w:ascii="宋体" w:hAnsi="宋体"/>
          <w:bCs/>
          <w:sz w:val="24"/>
          <w:szCs w:val="24"/>
        </w:rPr>
        <w:t xml:space="preserve">  </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 </w:t>
      </w:r>
    </w:p>
    <w:p>
      <w:pPr>
        <w:spacing w:line="480" w:lineRule="auto"/>
        <w:jc w:val="center"/>
        <w:rPr>
          <w:rFonts w:ascii="宋体"/>
          <w:bCs/>
          <w:sz w:val="24"/>
          <w:szCs w:val="24"/>
        </w:rPr>
      </w:pPr>
    </w:p>
    <w:bookmarkEnd w:id="104"/>
    <w:p>
      <w:pPr>
        <w:spacing w:line="480" w:lineRule="auto"/>
        <w:rPr>
          <w:rFonts w:ascii="宋体"/>
          <w:bCs/>
          <w:sz w:val="24"/>
          <w:szCs w:val="24"/>
        </w:rPr>
      </w:pPr>
      <w:r>
        <w:rPr>
          <w:rFonts w:hint="eastAsia" w:ascii="宋体" w:hAnsi="宋体"/>
          <w:bCs/>
          <w:sz w:val="24"/>
          <w:szCs w:val="24"/>
        </w:rPr>
        <w:t>宜兴市公用燃气管理有限公司：</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YXGYJT202304013</w:t>
      </w:r>
      <w:r>
        <w:rPr>
          <w:rFonts w:hint="eastAsia" w:ascii="黑体" w:eastAsia="黑体"/>
          <w:bCs/>
          <w:sz w:val="24"/>
          <w:szCs w:val="24"/>
        </w:rPr>
        <w:t>）</w:t>
      </w:r>
      <w:r>
        <w:rPr>
          <w:rFonts w:hint="eastAsia" w:ascii="宋体" w:hAnsi="宋体"/>
          <w:bCs/>
          <w:sz w:val="24"/>
          <w:szCs w:val="24"/>
        </w:rPr>
        <w:t>采购活动前三年内在经营活动中没有重大违法记录；</w:t>
      </w:r>
      <w:r>
        <w:rPr>
          <w:rFonts w:ascii="宋体" w:hAnsi="宋体" w:cs="宋体"/>
          <w:kern w:val="0"/>
          <w:sz w:val="24"/>
          <w:szCs w:val="24"/>
        </w:rPr>
        <w:t>同时，投标时不存在</w:t>
      </w:r>
      <w:bookmarkStart w:id="105" w:name="OLE_LINK242"/>
      <w:r>
        <w:rPr>
          <w:rFonts w:hint="eastAsia" w:ascii="宋体" w:hAnsi="宋体" w:cs="宋体"/>
          <w:kern w:val="0"/>
          <w:sz w:val="24"/>
          <w:szCs w:val="24"/>
        </w:rPr>
        <w:t>有效期限</w:t>
      </w:r>
      <w:bookmarkEnd w:id="105"/>
      <w:r>
        <w:rPr>
          <w:rFonts w:ascii="宋体" w:hAnsi="宋体" w:cs="宋体"/>
          <w:kern w:val="0"/>
          <w:sz w:val="24"/>
          <w:szCs w:val="24"/>
        </w:rPr>
        <w:t>内的采购严重违法失信行为的</w:t>
      </w:r>
      <w:r>
        <w:rPr>
          <w:rFonts w:hint="eastAsia" w:ascii="宋体" w:hAnsi="宋体" w:cs="宋体"/>
          <w:kern w:val="0"/>
          <w:sz w:val="24"/>
          <w:szCs w:val="24"/>
        </w:rPr>
        <w:t>处罚</w:t>
      </w:r>
      <w:r>
        <w:rPr>
          <w:rFonts w:ascii="宋体" w:hAnsi="宋体" w:cs="宋体"/>
          <w:kern w:val="0"/>
          <w:sz w:val="24"/>
          <w:szCs w:val="24"/>
        </w:rPr>
        <w:t>记录</w:t>
      </w:r>
      <w:r>
        <w:rPr>
          <w:rFonts w:hint="eastAsia" w:ascii="宋体" w:hAnsi="宋体" w:cs="宋体"/>
          <w:kern w:val="0"/>
          <w:sz w:val="24"/>
          <w:szCs w:val="24"/>
        </w:rPr>
        <w:t>，</w:t>
      </w:r>
      <w:r>
        <w:rPr>
          <w:rFonts w:ascii="宋体" w:hAnsi="宋体" w:cs="宋体"/>
          <w:kern w:val="0"/>
          <w:sz w:val="24"/>
          <w:szCs w:val="24"/>
        </w:rPr>
        <w:t>未被列入失信名单或重大税收违法案件当事人名单；</w:t>
      </w:r>
      <w:r>
        <w:rPr>
          <w:rFonts w:hint="eastAsia" w:ascii="宋体" w:hAnsi="宋体"/>
          <w:bCs/>
          <w:sz w:val="24"/>
          <w:szCs w:val="24"/>
        </w:rPr>
        <w:t>且具备履行合同所必需的设备和专业技术能力。我公司（单位）愿针对本次项目（</w:t>
      </w:r>
      <w:r>
        <w:rPr>
          <w:rFonts w:ascii="宋体" w:hAnsi="宋体"/>
          <w:bCs/>
          <w:sz w:val="24"/>
          <w:szCs w:val="24"/>
        </w:rPr>
        <w:t>YXGYJT202304013</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bookmarkStart w:id="106" w:name="OLE_LINK81"/>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bookmarkEnd w:id="106"/>
    <w:p>
      <w:pPr>
        <w:spacing w:line="360" w:lineRule="auto"/>
        <w:jc w:val="center"/>
        <w:rPr>
          <w:rFonts w:ascii="黑体" w:eastAsia="黑体"/>
          <w:bCs/>
          <w:sz w:val="28"/>
          <w:szCs w:val="28"/>
        </w:rPr>
      </w:pPr>
      <w:bookmarkStart w:id="107" w:name="OLE_LINK36"/>
    </w:p>
    <w:p>
      <w:pPr>
        <w:spacing w:line="360" w:lineRule="auto"/>
        <w:rPr>
          <w:rFonts w:ascii="黑体" w:eastAsia="黑体"/>
          <w:bCs/>
          <w:sz w:val="28"/>
          <w:szCs w:val="28"/>
        </w:rPr>
      </w:pPr>
      <w:r>
        <w:rPr>
          <w:rFonts w:ascii="楷体_GB2312" w:hAnsi="宋体" w:eastAsia="楷体_GB2312"/>
          <w:bCs/>
          <w:sz w:val="24"/>
        </w:rPr>
        <w:pict>
          <v:shape id="_x0000_s1027" o:spid="_x0000_s1027" o:spt="202" type="#_x0000_t202" style="position:absolute;left:0pt;margin-left:245.9pt;margin-top:2.05pt;height:163pt;width:241.35pt;z-index:251660288;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楷体_GB2312" w:hAnsi="宋体" w:eastAsia="楷体_GB2312"/>
          <w:bCs/>
          <w:sz w:val="24"/>
        </w:rPr>
        <w:pict>
          <v:shape id="文本框 3" o:spid="_x0000_s1026" o:spt="202" type="#_x0000_t202" style="position:absolute;left:0pt;margin-left:-3.1pt;margin-top:2.3pt;height:163.05pt;width:236.15pt;z-index:251659264;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bookmarkEnd w:id="107"/>
    <w:p>
      <w:pPr>
        <w:spacing w:line="360" w:lineRule="auto"/>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jc w:val="center"/>
        <w:rPr>
          <w:rFonts w:ascii="宋体" w:hAnsi="宋体"/>
          <w:sz w:val="24"/>
          <w:szCs w:val="28"/>
        </w:rPr>
      </w:pPr>
    </w:p>
    <w:p>
      <w:pPr>
        <w:tabs>
          <w:tab w:val="left" w:pos="255"/>
        </w:tabs>
        <w:spacing w:line="360" w:lineRule="auto"/>
        <w:ind w:left="420" w:leftChars="200"/>
        <w:jc w:val="right"/>
        <w:rPr>
          <w:rFonts w:ascii="宋体" w:hAnsi="宋体"/>
          <w:sz w:val="24"/>
          <w:szCs w:val="21"/>
          <w:lang w:val="zh-CN"/>
        </w:rPr>
      </w:pPr>
      <w:r>
        <w:rPr>
          <w:rFonts w:hint="eastAsia" w:ascii="宋体" w:hAnsi="宋体"/>
          <w:sz w:val="24"/>
          <w:szCs w:val="21"/>
          <w:lang w:val="zh-CN"/>
        </w:rPr>
        <w:t>项目编号：</w:t>
      </w:r>
      <w:r>
        <w:rPr>
          <w:rFonts w:ascii="宋体" w:hAnsi="宋体"/>
          <w:sz w:val="24"/>
          <w:szCs w:val="21"/>
          <w:lang w:val="zh-CN"/>
        </w:rPr>
        <w:t>YXGYJT202304013</w:t>
      </w:r>
      <w:r>
        <w:rPr>
          <w:rFonts w:hint="eastAsia" w:ascii="宋体" w:hAnsi="宋体"/>
          <w:sz w:val="24"/>
          <w:szCs w:val="21"/>
          <w:lang w:val="zh-CN"/>
        </w:rPr>
        <w:t xml:space="preserve">  </w:t>
      </w:r>
    </w:p>
    <w:p>
      <w:pPr>
        <w:tabs>
          <w:tab w:val="left" w:pos="255"/>
        </w:tabs>
        <w:spacing w:line="360" w:lineRule="auto"/>
        <w:ind w:left="420" w:leftChars="200"/>
        <w:jc w:val="right"/>
        <w:rPr>
          <w:rFonts w:ascii="宋体" w:hAnsi="宋体"/>
          <w:sz w:val="24"/>
          <w:szCs w:val="21"/>
          <w:lang w:val="zh-CN"/>
        </w:rPr>
      </w:pPr>
      <w:r>
        <w:rPr>
          <w:rFonts w:hint="eastAsia" w:ascii="宋体" w:hAnsi="宋体"/>
          <w:sz w:val="24"/>
          <w:szCs w:val="21"/>
          <w:lang w:val="zh-CN"/>
        </w:rPr>
        <w:t xml:space="preserve">  日期：</w:t>
      </w:r>
    </w:p>
    <w:p>
      <w:pPr>
        <w:tabs>
          <w:tab w:val="left" w:pos="255"/>
        </w:tabs>
        <w:spacing w:line="360" w:lineRule="auto"/>
        <w:ind w:left="420" w:leftChars="200"/>
        <w:rPr>
          <w:rFonts w:ascii="宋体" w:hAnsi="宋体" w:eastAsia="宋体" w:cs="Times New Roman"/>
          <w:sz w:val="24"/>
          <w:szCs w:val="21"/>
          <w:lang w:val="zh-CN"/>
        </w:rPr>
      </w:pPr>
      <w:r>
        <w:rPr>
          <w:rFonts w:hint="eastAsia" w:ascii="宋体" w:hAnsi="宋体" w:eastAsia="宋体" w:cs="Times New Roman"/>
          <w:bCs/>
          <w:sz w:val="24"/>
          <w:szCs w:val="24"/>
        </w:rPr>
        <w:t>宜兴市公用燃气管理有限公司</w:t>
      </w:r>
      <w:r>
        <w:rPr>
          <w:rFonts w:hint="eastAsia" w:ascii="宋体" w:hAnsi="宋体" w:eastAsia="宋体" w:cs="Times New Roman"/>
          <w:sz w:val="24"/>
          <w:szCs w:val="21"/>
          <w:lang w:val="zh-CN"/>
        </w:rPr>
        <w:t>：</w:t>
      </w:r>
    </w:p>
    <w:p>
      <w:pPr>
        <w:tabs>
          <w:tab w:val="left" w:pos="255"/>
        </w:tabs>
        <w:spacing w:line="360" w:lineRule="auto"/>
        <w:ind w:left="420" w:leftChars="200" w:firstLine="600" w:firstLineChars="250"/>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w:t>
      </w:r>
      <w:r>
        <w:rPr>
          <w:rFonts w:hint="eastAsia" w:ascii="宋体" w:hAnsi="宋体" w:eastAsia="宋体" w:cs="Times New Roman"/>
          <w:sz w:val="24"/>
          <w:szCs w:val="21"/>
          <w:lang w:val="zh-CN"/>
        </w:rPr>
        <w:t>中华人民共和国合法企业。法定地址：特授权代表我公司</w:t>
      </w:r>
      <w:r>
        <w:rPr>
          <w:rFonts w:hint="eastAsia" w:ascii="宋体" w:hAnsi="宋体" w:eastAsia="宋体" w:cs="Times New Roman"/>
          <w:sz w:val="24"/>
          <w:szCs w:val="21"/>
          <w:u w:val="single"/>
          <w:lang w:val="zh-CN"/>
        </w:rPr>
        <w:t>（单位）</w:t>
      </w:r>
      <w:r>
        <w:rPr>
          <w:rFonts w:hint="eastAsia" w:ascii="宋体" w:hAnsi="宋体" w:eastAsia="宋体" w:cs="Times New Roman"/>
          <w:sz w:val="24"/>
          <w:szCs w:val="21"/>
          <w:lang w:val="zh-CN"/>
        </w:rPr>
        <w:t>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我公司</w:t>
      </w:r>
      <w:r>
        <w:rPr>
          <w:rFonts w:hint="eastAsia" w:ascii="宋体" w:hAnsi="宋体" w:eastAsia="宋体" w:cs="Times New Roman"/>
          <w:sz w:val="24"/>
          <w:szCs w:val="21"/>
          <w:u w:val="single"/>
          <w:lang w:val="zh-CN"/>
        </w:rPr>
        <w:t>（单位）</w:t>
      </w:r>
      <w:r>
        <w:rPr>
          <w:rFonts w:hint="eastAsia" w:ascii="宋体" w:hAnsi="宋体" w:eastAsia="宋体" w:cs="Times New Roman"/>
          <w:sz w:val="24"/>
          <w:szCs w:val="21"/>
          <w:lang w:val="zh-CN"/>
        </w:rPr>
        <w:t>对被授权代表人的签名负全部责任。</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被授权代表人情况：</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姓名：           性别：        年龄：         职务：</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身份证号码：                   手机号码：</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办公电话：                     传真：</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通讯地址：</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被授权代表人签名：                  单位名称（公章）：</w:t>
      </w:r>
    </w:p>
    <w:p>
      <w:pPr>
        <w:tabs>
          <w:tab w:val="left" w:pos="255"/>
        </w:tabs>
        <w:spacing w:line="360" w:lineRule="auto"/>
        <w:ind w:left="420" w:leftChars="200" w:firstLine="480" w:firstLineChars="200"/>
        <w:rPr>
          <w:rFonts w:ascii="宋体" w:hAnsi="宋体" w:eastAsia="宋体" w:cs="Times New Roman"/>
          <w:sz w:val="24"/>
          <w:szCs w:val="21"/>
          <w:lang w:val="zh-CN"/>
        </w:rPr>
      </w:pPr>
      <w:r>
        <w:rPr>
          <w:rFonts w:hint="eastAsia" w:ascii="宋体" w:hAnsi="宋体" w:eastAsia="宋体" w:cs="Times New Roman"/>
          <w:sz w:val="24"/>
          <w:szCs w:val="21"/>
          <w:lang w:val="zh-CN"/>
        </w:rPr>
        <w:t xml:space="preserve">                                    法定代表人签名：</w:t>
      </w:r>
    </w:p>
    <w:p>
      <w:pPr>
        <w:spacing w:line="360" w:lineRule="auto"/>
        <w:rPr>
          <w:rFonts w:ascii="黑体" w:eastAsia="黑体"/>
          <w:bCs/>
          <w:sz w:val="28"/>
          <w:szCs w:val="28"/>
        </w:rPr>
      </w:pPr>
      <w:r>
        <w:rPr>
          <w:rFonts w:ascii="楷体_GB2312" w:hAnsi="宋体" w:eastAsia="楷体_GB2312"/>
          <w:bCs/>
          <w:sz w:val="24"/>
        </w:rPr>
        <w:pict>
          <v:shape id="_x0000_s1029" o:spid="_x0000_s1029" o:spt="202" type="#_x0000_t202" style="position:absolute;left:0pt;margin-left:245.9pt;margin-top:2.05pt;height:163pt;width:241.35pt;z-index:251662336;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28" o:spid="_x0000_s1028" o:spt="202" type="#_x0000_t202" style="position:absolute;left:0pt;margin-left:-3.1pt;margin-top:2.3pt;height:163.05pt;width:236.15pt;z-index:251661312;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p>
      <w:pPr>
        <w:spacing w:line="360" w:lineRule="auto"/>
        <w:rPr>
          <w:rFonts w:ascii="宋体" w:hAnsi="宋体" w:eastAsia="宋体" w:cs="宋体"/>
          <w:b/>
          <w:szCs w:val="21"/>
        </w:rPr>
      </w:pPr>
      <w:bookmarkStart w:id="108" w:name="_Toc27231"/>
      <w:r>
        <w:rPr>
          <w:rFonts w:hint="eastAsia" w:ascii="宋体" w:hAnsi="宋体" w:cs="宋体"/>
          <w:b/>
          <w:szCs w:val="21"/>
        </w:rPr>
        <w:t>注：</w:t>
      </w:r>
      <w:r>
        <w:rPr>
          <w:rFonts w:hint="eastAsia" w:ascii="宋体" w:hAnsi="宋体" w:eastAsia="宋体" w:cs="宋体"/>
          <w:b/>
          <w:szCs w:val="21"/>
        </w:rPr>
        <w:t>投标人</w:t>
      </w:r>
      <w:r>
        <w:rPr>
          <w:rFonts w:hint="eastAsia" w:ascii="宋体" w:hAnsi="宋体" w:eastAsia="宋体" w:cs="宋体"/>
          <w:b/>
          <w:szCs w:val="21"/>
          <w:lang w:val="zh-CN"/>
        </w:rPr>
        <w:t>为本项目被授权代表在近十二个月内连续六个月缴纳的社保证明复印件</w:t>
      </w:r>
      <w:r>
        <w:rPr>
          <w:rFonts w:hint="eastAsia" w:ascii="宋体" w:hAnsi="宋体" w:eastAsia="宋体" w:cs="宋体"/>
          <w:b/>
          <w:szCs w:val="21"/>
        </w:rPr>
        <w:t>附于本表之后。</w:t>
      </w:r>
    </w:p>
    <w:p>
      <w:pPr>
        <w:ind w:firstLine="480" w:firstLineChars="20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3、资格性证明材料复印件：</w:t>
      </w:r>
      <w:bookmarkEnd w:id="108"/>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center"/>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YXGYJT202304013</w:t>
      </w:r>
      <w:r>
        <w:rPr>
          <w:rFonts w:hint="eastAsia" w:ascii="宋体" w:hAnsi="宋体"/>
          <w:bCs/>
          <w:sz w:val="24"/>
          <w:szCs w:val="24"/>
        </w:rPr>
        <w:t xml:space="preserve">  </w:t>
      </w:r>
    </w:p>
    <w:p>
      <w:pPr>
        <w:spacing w:line="360" w:lineRule="auto"/>
        <w:jc w:val="center"/>
        <w:rPr>
          <w:rFonts w:ascii="宋体" w:hAnsi="宋体"/>
          <w:bCs/>
          <w:sz w:val="24"/>
          <w:szCs w:val="24"/>
        </w:rPr>
      </w:pPr>
      <w:r>
        <w:rPr>
          <w:rFonts w:hint="eastAsia" w:ascii="宋体" w:hAnsi="宋体"/>
          <w:bCs/>
          <w:sz w:val="24"/>
          <w:szCs w:val="24"/>
        </w:rPr>
        <w:t xml:space="preserve">             日期：</w:t>
      </w:r>
    </w:p>
    <w:p>
      <w:pPr>
        <w:spacing w:line="480" w:lineRule="auto"/>
        <w:rPr>
          <w:rFonts w:ascii="宋体" w:hAnsi="宋体" w:cs="宋体"/>
          <w:sz w:val="24"/>
          <w:szCs w:val="24"/>
        </w:rPr>
      </w:pPr>
      <w:r>
        <w:rPr>
          <w:rFonts w:hint="eastAsia" w:ascii="宋体" w:hAnsi="宋体"/>
          <w:bCs/>
          <w:sz w:val="24"/>
          <w:szCs w:val="24"/>
        </w:rPr>
        <w:t>投标人应按以下顺序提供相关材料复印件：</w:t>
      </w:r>
    </w:p>
    <w:p>
      <w:pPr>
        <w:numPr>
          <w:ilvl w:val="0"/>
          <w:numId w:val="22"/>
        </w:numPr>
        <w:tabs>
          <w:tab w:val="left" w:pos="0"/>
          <w:tab w:val="left" w:pos="255"/>
        </w:tabs>
        <w:spacing w:line="360" w:lineRule="auto"/>
        <w:rPr>
          <w:rFonts w:ascii="宋体" w:hAnsi="宋体"/>
          <w:sz w:val="24"/>
          <w:szCs w:val="24"/>
        </w:rPr>
      </w:pPr>
      <w:r>
        <w:rPr>
          <w:rFonts w:hint="eastAsia" w:ascii="宋体" w:hAnsi="宋体"/>
          <w:sz w:val="24"/>
          <w:szCs w:val="24"/>
        </w:rPr>
        <w:t>具有独立承担民事责任能力的</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pPr>
        <w:numPr>
          <w:ilvl w:val="0"/>
          <w:numId w:val="22"/>
        </w:numPr>
        <w:tabs>
          <w:tab w:val="left" w:pos="0"/>
          <w:tab w:val="left" w:pos="255"/>
        </w:tabs>
        <w:spacing w:line="360" w:lineRule="auto"/>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22"/>
        </w:numPr>
        <w:tabs>
          <w:tab w:val="left" w:pos="0"/>
          <w:tab w:val="left" w:pos="255"/>
        </w:tabs>
        <w:spacing w:line="360" w:lineRule="auto"/>
        <w:rPr>
          <w:rFonts w:ascii="宋体" w:hAnsi="宋体" w:cs="宋体"/>
          <w:bCs/>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22"/>
        </w:numPr>
        <w:tabs>
          <w:tab w:val="left" w:pos="0"/>
          <w:tab w:val="left" w:pos="255"/>
        </w:tabs>
        <w:spacing w:line="360" w:lineRule="auto"/>
        <w:rPr>
          <w:rFonts w:ascii="宋体" w:hAnsi="宋体" w:cs="宋体"/>
          <w:bCs/>
          <w:sz w:val="24"/>
          <w:szCs w:val="24"/>
        </w:rPr>
      </w:pPr>
      <w:r>
        <w:rPr>
          <w:rFonts w:hint="eastAsia" w:ascii="宋体" w:hAnsi="宋体" w:cs="宋体"/>
          <w:bCs/>
          <w:sz w:val="24"/>
          <w:szCs w:val="24"/>
        </w:rPr>
        <w:t>投标人（或其全资子公司、分公司）为本项目被授权代表在近十二个月内连续六个月缴纳的社保证明复印件（提供相关主管部门证明或银行代扣证明，法定代表人亲自参加的除外）</w:t>
      </w:r>
    </w:p>
    <w:p>
      <w:pPr>
        <w:numPr>
          <w:ilvl w:val="0"/>
          <w:numId w:val="22"/>
        </w:numPr>
        <w:tabs>
          <w:tab w:val="left" w:pos="0"/>
          <w:tab w:val="left" w:pos="255"/>
        </w:tabs>
        <w:spacing w:line="360" w:lineRule="auto"/>
        <w:rPr>
          <w:rFonts w:ascii="宋体" w:hAnsi="宋体"/>
          <w:sz w:val="24"/>
          <w:szCs w:val="24"/>
        </w:rPr>
      </w:pPr>
      <w:r>
        <w:rPr>
          <w:rFonts w:hint="eastAsia" w:ascii="宋体" w:hAnsi="宋体"/>
          <w:sz w:val="24"/>
          <w:szCs w:val="21"/>
        </w:rPr>
        <w:t>投标保证金交纳证明复印件（银行转账记录）；</w:t>
      </w:r>
    </w:p>
    <w:p>
      <w:pPr>
        <w:numPr>
          <w:ilvl w:val="0"/>
          <w:numId w:val="22"/>
        </w:numPr>
        <w:tabs>
          <w:tab w:val="left" w:pos="0"/>
          <w:tab w:val="left" w:pos="255"/>
        </w:tabs>
        <w:spacing w:line="360" w:lineRule="auto"/>
        <w:rPr>
          <w:rFonts w:ascii="宋体" w:hAnsi="宋体"/>
          <w:sz w:val="24"/>
          <w:szCs w:val="24"/>
        </w:rPr>
      </w:pPr>
      <w:r>
        <w:rPr>
          <w:rFonts w:hint="eastAsia" w:ascii="宋体" w:hAnsi="宋体"/>
          <w:b/>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网站列入失信执行人、税收违法黑名单、政府采购严重违法失信名单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w:t>
      </w:r>
      <w:r>
        <w:rPr>
          <w:rFonts w:ascii="宋体" w:hAnsi="宋体"/>
          <w:b/>
          <w:sz w:val="24"/>
          <w:szCs w:val="24"/>
        </w:rPr>
        <w:t>若投标人企业信息已录入以上网站的，</w:t>
      </w:r>
      <w:r>
        <w:rPr>
          <w:rFonts w:hint="eastAsia" w:ascii="宋体" w:hAnsi="宋体"/>
          <w:b/>
          <w:sz w:val="24"/>
          <w:szCs w:val="24"/>
          <w:lang w:val="zh-CN"/>
        </w:rPr>
        <w:t>无需提供相关证明材料</w:t>
      </w:r>
      <w:r>
        <w:rPr>
          <w:rFonts w:ascii="宋体" w:hAnsi="宋体"/>
          <w:b/>
          <w:sz w:val="24"/>
          <w:szCs w:val="24"/>
        </w:rPr>
        <w:t>；</w:t>
      </w:r>
      <w:r>
        <w:rPr>
          <w:rFonts w:hint="eastAsia" w:ascii="宋体" w:hAnsi="宋体"/>
          <w:b/>
          <w:sz w:val="24"/>
          <w:szCs w:val="24"/>
        </w:rPr>
        <w:t>若投标人企业信息</w:t>
      </w:r>
      <w:r>
        <w:rPr>
          <w:rFonts w:ascii="宋体" w:hAnsi="宋体"/>
          <w:b/>
          <w:sz w:val="24"/>
          <w:szCs w:val="24"/>
        </w:rPr>
        <w:t>未</w:t>
      </w:r>
      <w:r>
        <w:rPr>
          <w:rFonts w:hint="eastAsia" w:ascii="宋体" w:hAnsi="宋体"/>
          <w:b/>
          <w:sz w:val="24"/>
          <w:szCs w:val="24"/>
        </w:rPr>
        <w:t>录入以上网站的，须在投标文件中提供</w:t>
      </w:r>
      <w:r>
        <w:rPr>
          <w:rFonts w:ascii="宋体" w:hAnsi="宋体"/>
          <w:b/>
          <w:sz w:val="24"/>
          <w:szCs w:val="24"/>
        </w:rPr>
        <w:t>无不良信用记录</w:t>
      </w:r>
      <w:r>
        <w:rPr>
          <w:rFonts w:hint="eastAsia" w:ascii="宋体" w:hAnsi="宋体"/>
          <w:b/>
          <w:sz w:val="24"/>
          <w:szCs w:val="24"/>
        </w:rPr>
        <w:t>承诺</w:t>
      </w:r>
      <w:r>
        <w:rPr>
          <w:rFonts w:ascii="宋体" w:hAnsi="宋体"/>
          <w:b/>
          <w:sz w:val="24"/>
          <w:szCs w:val="24"/>
        </w:rPr>
        <w:t>书</w:t>
      </w:r>
      <w:r>
        <w:rPr>
          <w:rFonts w:hint="eastAsia" w:ascii="宋体" w:hAnsi="宋体"/>
          <w:b/>
          <w:sz w:val="24"/>
          <w:szCs w:val="24"/>
        </w:rPr>
        <w:t>）</w:t>
      </w:r>
    </w:p>
    <w:p>
      <w:pPr>
        <w:numPr>
          <w:ilvl w:val="0"/>
          <w:numId w:val="22"/>
        </w:numPr>
        <w:tabs>
          <w:tab w:val="left" w:pos="0"/>
          <w:tab w:val="left" w:pos="255"/>
        </w:tabs>
        <w:spacing w:line="360" w:lineRule="auto"/>
        <w:rPr>
          <w:rFonts w:ascii="宋体" w:hAnsi="宋体"/>
          <w:bCs/>
          <w:sz w:val="24"/>
          <w:szCs w:val="24"/>
        </w:rPr>
      </w:pPr>
      <w:r>
        <w:rPr>
          <w:rFonts w:hint="eastAsia" w:ascii="宋体" w:hAnsi="宋体"/>
          <w:bCs/>
          <w:sz w:val="24"/>
          <w:szCs w:val="24"/>
        </w:rPr>
        <w:t>投标商需具备《安全评价机构资质证书》。</w:t>
      </w: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ind w:firstLine="480" w:firstLineChars="200"/>
        <w:rPr>
          <w:rFonts w:ascii="黑体" w:hAnsi="宋体" w:eastAsia="黑体"/>
          <w:bCs/>
          <w:sz w:val="24"/>
          <w:szCs w:val="24"/>
        </w:rPr>
      </w:pPr>
      <w:r>
        <w:rPr>
          <w:rFonts w:ascii="黑体" w:hAnsi="宋体" w:eastAsia="黑体"/>
          <w:bCs/>
          <w:sz w:val="24"/>
          <w:szCs w:val="24"/>
        </w:rPr>
        <w:br w:type="page"/>
      </w:r>
      <w:bookmarkStart w:id="109" w:name="OLE_LINK11"/>
    </w:p>
    <w:p>
      <w:pPr>
        <w:tabs>
          <w:tab w:val="left" w:pos="255"/>
        </w:tabs>
        <w:spacing w:line="360" w:lineRule="auto"/>
        <w:ind w:firstLine="480" w:firstLineChars="200"/>
        <w:jc w:val="left"/>
        <w:rPr>
          <w:rFonts w:ascii="宋体" w:hAnsi="宋体"/>
          <w:sz w:val="24"/>
          <w:szCs w:val="21"/>
          <w:lang w:val="zh-CN"/>
        </w:rPr>
      </w:pPr>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YXGYJT202304013</w:t>
      </w:r>
      <w:r>
        <w:rPr>
          <w:rFonts w:hint="eastAsia" w:ascii="宋体" w:hAnsi="宋体"/>
          <w:sz w:val="24"/>
          <w:szCs w:val="21"/>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9"/>
    </w:p>
    <w:p>
      <w:pPr>
        <w:tabs>
          <w:tab w:val="left" w:pos="255"/>
        </w:tabs>
        <w:spacing w:line="360" w:lineRule="auto"/>
        <w:ind w:firstLine="480" w:firstLineChars="200"/>
        <w:jc w:val="left"/>
        <w:rPr>
          <w:rFonts w:ascii="宋体" w:hAnsi="宋体"/>
          <w:sz w:val="24"/>
          <w:szCs w:val="21"/>
        </w:rPr>
      </w:pPr>
      <w:r>
        <w:rPr>
          <w:rFonts w:ascii="宋体" w:hAnsi="宋体"/>
          <w:sz w:val="24"/>
          <w:szCs w:val="21"/>
        </w:rPr>
        <w:br w:type="page"/>
      </w:r>
    </w:p>
    <w:p>
      <w:pPr>
        <w:tabs>
          <w:tab w:val="left" w:pos="255"/>
        </w:tabs>
        <w:spacing w:line="360" w:lineRule="auto"/>
        <w:ind w:firstLine="480" w:firstLineChars="200"/>
        <w:jc w:val="left"/>
        <w:rPr>
          <w:rFonts w:ascii="黑体" w:hAnsi="宋体" w:eastAsia="黑体"/>
          <w:bCs/>
          <w:sz w:val="24"/>
          <w:szCs w:val="24"/>
        </w:rPr>
      </w:pPr>
      <w:r>
        <w:rPr>
          <w:rFonts w:hint="eastAsia" w:ascii="黑体" w:hAnsi="宋体" w:eastAsia="黑体"/>
          <w:bCs/>
          <w:sz w:val="24"/>
          <w:szCs w:val="24"/>
        </w:rPr>
        <w:t>(五)招标文件第三章“项目技术要求和有关说明”中要求提供的相关证明材料（如有自行添加）</w:t>
      </w: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tabs>
          <w:tab w:val="left" w:pos="255"/>
        </w:tabs>
        <w:spacing w:line="360" w:lineRule="auto"/>
        <w:ind w:firstLine="480" w:firstLineChars="200"/>
        <w:jc w:val="left"/>
        <w:rPr>
          <w:rFonts w:ascii="黑体" w:hAnsi="宋体" w:eastAsia="黑体"/>
          <w:bCs/>
          <w:sz w:val="24"/>
          <w:szCs w:val="24"/>
        </w:rPr>
      </w:pPr>
    </w:p>
    <w:p>
      <w:pPr>
        <w:rPr>
          <w:rFonts w:ascii="宋体" w:hAnsi="宋体" w:eastAsia="宋体" w:cs="Times New Roman"/>
          <w:sz w:val="24"/>
          <w:szCs w:val="21"/>
          <w:lang w:val="zh-CN"/>
        </w:rPr>
      </w:pPr>
    </w:p>
    <w:p>
      <w:pPr>
        <w:tabs>
          <w:tab w:val="left" w:pos="0"/>
        </w:tabs>
        <w:spacing w:line="360" w:lineRule="auto"/>
        <w:rPr>
          <w:rFonts w:ascii="宋体" w:hAnsi="宋体"/>
          <w:b/>
          <w:bCs/>
          <w:sz w:val="24"/>
          <w:szCs w:val="24"/>
          <w:lang w:val="zh-CN"/>
        </w:rPr>
      </w:pPr>
      <w:r>
        <w:rPr>
          <w:rFonts w:hint="eastAsia" w:ascii="宋体" w:hAnsi="宋体"/>
          <w:b/>
          <w:bCs/>
          <w:sz w:val="24"/>
          <w:szCs w:val="24"/>
        </w:rPr>
        <w:t>（八）要求采购人提供的配合（如有自拟并自行添加）</w:t>
      </w: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p>
    <w:p>
      <w:pPr>
        <w:tabs>
          <w:tab w:val="left" w:pos="0"/>
          <w:tab w:val="left" w:pos="255"/>
        </w:tabs>
        <w:spacing w:line="360" w:lineRule="auto"/>
        <w:rPr>
          <w:rFonts w:ascii="宋体" w:hAnsi="宋体"/>
          <w:b/>
          <w:bCs/>
          <w:sz w:val="24"/>
          <w:szCs w:val="24"/>
          <w:lang w:val="zh-CN"/>
        </w:rPr>
      </w:pPr>
      <w:r>
        <w:rPr>
          <w:rFonts w:hint="eastAsia" w:ascii="宋体" w:hAnsi="宋体"/>
          <w:b/>
          <w:bCs/>
          <w:sz w:val="24"/>
          <w:szCs w:val="24"/>
          <w:lang w:val="zh-CN"/>
        </w:rPr>
        <w:t>（</w:t>
      </w:r>
      <w:r>
        <w:rPr>
          <w:rFonts w:hint="eastAsia" w:ascii="宋体" w:hAnsi="宋体"/>
          <w:b/>
          <w:bCs/>
          <w:sz w:val="24"/>
          <w:szCs w:val="24"/>
        </w:rPr>
        <w:t>九</w:t>
      </w:r>
      <w:r>
        <w:rPr>
          <w:rFonts w:hint="eastAsia" w:ascii="宋体" w:hAnsi="宋体"/>
          <w:b/>
          <w:bCs/>
          <w:sz w:val="24"/>
          <w:szCs w:val="24"/>
          <w:lang w:val="zh-CN"/>
        </w:rPr>
        <w:t>）其他（投标人认为有必要提供的声明和文件，</w:t>
      </w:r>
      <w:r>
        <w:rPr>
          <w:rFonts w:hint="eastAsia" w:ascii="宋体" w:hAnsi="宋体"/>
          <w:b/>
          <w:bCs/>
          <w:sz w:val="24"/>
          <w:szCs w:val="24"/>
        </w:rPr>
        <w:t>如有自拟并自行添加）</w:t>
      </w:r>
    </w:p>
    <w:p>
      <w:pPr>
        <w:jc w:val="cente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pStyle w:val="2"/>
        <w:rPr>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rPr>
          <w:rFonts w:ascii="宋体" w:hAnsi="宋体" w:eastAsia="宋体" w:cs="Times New Roman"/>
          <w:sz w:val="24"/>
          <w:szCs w:val="21"/>
          <w:lang w:val="zh-CN"/>
        </w:rPr>
      </w:pPr>
    </w:p>
    <w:p>
      <w:pPr>
        <w:jc w:val="center"/>
        <w:rPr>
          <w:rFonts w:ascii="Helvetica" w:hAnsi="Helvetica" w:cs="Arial"/>
          <w:color w:val="000000"/>
          <w:kern w:val="0"/>
          <w:sz w:val="24"/>
          <w:szCs w:val="24"/>
        </w:rPr>
      </w:pPr>
      <w:r>
        <w:rPr>
          <w:rFonts w:hint="eastAsia" w:ascii="宋体" w:hAnsi="宋体"/>
          <w:b/>
          <w:bCs/>
          <w:sz w:val="44"/>
          <w:szCs w:val="44"/>
        </w:rPr>
        <w:t>宜兴市公用燃气管理有限公司储配站及供应点安全现状评价招标公告</w:t>
      </w:r>
    </w:p>
    <w:p>
      <w:pPr>
        <w:jc w:val="left"/>
        <w:rPr>
          <w:rFonts w:ascii="宋体" w:hAnsi="宋体"/>
          <w:b/>
          <w:bCs/>
          <w:sz w:val="44"/>
          <w:szCs w:val="44"/>
        </w:rPr>
      </w:pPr>
      <w:r>
        <w:rPr>
          <w:rFonts w:hint="eastAsia" w:ascii="仿宋" w:hAnsi="仿宋" w:eastAsia="仿宋" w:cs="仿宋"/>
          <w:sz w:val="28"/>
          <w:szCs w:val="28"/>
        </w:rPr>
        <w:t xml:space="preserve">    因工作需要，宜兴市公用燃气管理有限公司对储配站及供应点安全现状评价项目进行招标。现欢迎符合相关条件的供应商参加投标。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1、项目编号：YXGYJT202304013</w:t>
      </w:r>
    </w:p>
    <w:p>
      <w:pPr>
        <w:jc w:val="left"/>
        <w:rPr>
          <w:rFonts w:ascii="宋体" w:hAnsi="宋体"/>
          <w:b/>
          <w:bCs/>
          <w:sz w:val="44"/>
          <w:szCs w:val="44"/>
        </w:rPr>
      </w:pPr>
      <w:r>
        <w:rPr>
          <w:rFonts w:hint="eastAsia" w:ascii="仿宋_GB2312" w:eastAsia="仿宋_GB2312"/>
          <w:sz w:val="28"/>
          <w:szCs w:val="28"/>
        </w:rPr>
        <w:t xml:space="preserve">    2、项目名称：</w:t>
      </w:r>
      <w:r>
        <w:rPr>
          <w:rFonts w:hint="eastAsia" w:ascii="仿宋" w:hAnsi="仿宋" w:eastAsia="仿宋" w:cs="仿宋"/>
          <w:sz w:val="28"/>
          <w:szCs w:val="28"/>
        </w:rPr>
        <w:t>储配站及供应点安全现状评价</w:t>
      </w:r>
    </w:p>
    <w:p>
      <w:pPr>
        <w:pStyle w:val="52"/>
        <w:rPr>
          <w:rFonts w:ascii="仿宋_GB2312" w:eastAsia="仿宋_GB2312"/>
          <w:sz w:val="28"/>
          <w:szCs w:val="28"/>
        </w:rPr>
      </w:pPr>
      <w:r>
        <w:rPr>
          <w:rFonts w:hint="eastAsia" w:ascii="仿宋_GB2312" w:eastAsia="仿宋_GB2312"/>
          <w:sz w:val="28"/>
          <w:szCs w:val="28"/>
        </w:rPr>
        <w:t xml:space="preserve">    3、</w:t>
      </w:r>
      <w:r>
        <w:rPr>
          <w:rFonts w:hint="eastAsia" w:ascii="仿宋_GB2312" w:eastAsia="仿宋_GB2312"/>
          <w:kern w:val="2"/>
          <w:sz w:val="28"/>
          <w:szCs w:val="28"/>
        </w:rPr>
        <w:t>评标方法：最低价中标法</w:t>
      </w:r>
    </w:p>
    <w:p>
      <w:pPr>
        <w:pStyle w:val="52"/>
        <w:rPr>
          <w:rFonts w:ascii="仿宋_GB2312" w:eastAsia="仿宋_GB2312"/>
          <w:sz w:val="28"/>
          <w:szCs w:val="28"/>
        </w:rPr>
      </w:pPr>
      <w:r>
        <w:rPr>
          <w:rFonts w:hint="eastAsia" w:ascii="仿宋_GB2312" w:eastAsia="仿宋_GB2312"/>
          <w:sz w:val="28"/>
          <w:szCs w:val="28"/>
        </w:rPr>
        <w:t xml:space="preserve">    4、本项目预算为：208000元，投标人所报单价不超过单价限价，具体详见第三章项目技术要求和有关说明</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pStyle w:val="52"/>
        <w:rPr>
          <w:rFonts w:ascii="仿宋_GB2312" w:eastAsia="仿宋_GB2312"/>
          <w:sz w:val="28"/>
          <w:szCs w:val="28"/>
        </w:rPr>
      </w:pPr>
      <w:r>
        <w:rPr>
          <w:rFonts w:hint="eastAsia" w:ascii="仿宋_GB2312" w:eastAsia="仿宋_GB2312"/>
          <w:sz w:val="28"/>
          <w:szCs w:val="28"/>
        </w:rPr>
        <w:t xml:space="preserve">    投标人参加本次投标活动应具备下列资格条件：</w:t>
      </w:r>
    </w:p>
    <w:p>
      <w:pPr>
        <w:pStyle w:val="52"/>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2"/>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pPr>
        <w:pStyle w:val="52"/>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③具有履行合同所必需的设备和专业能力；</w:t>
      </w:r>
    </w:p>
    <w:p>
      <w:pPr>
        <w:pStyle w:val="52"/>
        <w:ind w:firstLine="560" w:firstLineChars="200"/>
        <w:rPr>
          <w:rFonts w:ascii="仿宋_GB2312" w:eastAsia="仿宋_GB2312"/>
          <w:sz w:val="28"/>
          <w:szCs w:val="28"/>
        </w:rPr>
      </w:pPr>
      <w:r>
        <w:rPr>
          <w:rFonts w:hint="eastAsia" w:ascii="仿宋_GB2312" w:eastAsia="仿宋_GB2312"/>
          <w:sz w:val="28"/>
          <w:szCs w:val="28"/>
        </w:rPr>
        <w:t>④不接受联合体，不接受中标后分包；</w:t>
      </w:r>
    </w:p>
    <w:p>
      <w:pPr>
        <w:pStyle w:val="52"/>
        <w:ind w:firstLine="560" w:firstLineChars="200"/>
        <w:rPr>
          <w:rFonts w:ascii="仿宋_GB2312" w:eastAsia="仿宋_GB2312"/>
          <w:sz w:val="28"/>
          <w:szCs w:val="28"/>
        </w:rPr>
      </w:pPr>
      <w:r>
        <w:rPr>
          <w:rFonts w:hint="eastAsia" w:ascii="仿宋_GB2312" w:eastAsia="仿宋_GB2312"/>
          <w:sz w:val="28"/>
          <w:szCs w:val="28"/>
        </w:rPr>
        <w:t>⑤良好的信用记录：投标截止时间之前，未被“信用中国”网站列入失信执行人、税收违法黑名单、政府采购严重违法失信行为记录名单，未被“中国政府采购网”网站列入政府采购严重违法失信行为记录名单；</w:t>
      </w:r>
    </w:p>
    <w:p>
      <w:pPr>
        <w:pStyle w:val="52"/>
        <w:ind w:firstLine="560" w:firstLineChars="200"/>
        <w:rPr>
          <w:rFonts w:ascii="仿宋_GB2312" w:eastAsia="仿宋_GB2312"/>
          <w:sz w:val="28"/>
          <w:szCs w:val="28"/>
        </w:rPr>
      </w:pPr>
      <w:r>
        <w:rPr>
          <w:rFonts w:hint="eastAsia" w:ascii="仿宋_GB2312" w:eastAsia="仿宋_GB2312"/>
          <w:sz w:val="28"/>
          <w:szCs w:val="28"/>
        </w:rPr>
        <w:t>⑥投标商需具备《安全评价机构资质证书》。</w:t>
      </w:r>
    </w:p>
    <w:p>
      <w:pPr>
        <w:pStyle w:val="52"/>
        <w:ind w:firstLine="560" w:firstLineChars="200"/>
        <w:rPr>
          <w:rFonts w:ascii="仿宋_GB2312" w:eastAsia="仿宋_GB2312"/>
          <w:sz w:val="28"/>
          <w:szCs w:val="28"/>
        </w:rPr>
      </w:pPr>
      <w:r>
        <w:rPr>
          <w:rFonts w:hint="eastAsia" w:ascii="仿宋_GB2312" w:eastAsia="仿宋_GB2312"/>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1、提交投标文件截止及开标时间：2023年4月28日9:40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3、地点：宜兴市公用环保集团有限公司二楼开标室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ind w:firstLine="570"/>
        <w:rPr>
          <w:rFonts w:ascii="仿宋_GB2312" w:eastAsia="仿宋_GB2312"/>
          <w:b/>
          <w:sz w:val="28"/>
          <w:szCs w:val="28"/>
        </w:rPr>
      </w:pPr>
      <w:r>
        <w:rPr>
          <w:rFonts w:hint="eastAsia" w:ascii="仿宋_GB2312" w:eastAsia="仿宋_GB2312"/>
          <w:b/>
          <w:sz w:val="28"/>
          <w:szCs w:val="28"/>
        </w:rPr>
        <w:t xml:space="preserve">四、公告期限：2023年4月21日-2023年4月24日    </w:t>
      </w:r>
    </w:p>
    <w:p>
      <w:pPr>
        <w:spacing w:line="560" w:lineRule="exact"/>
        <w:ind w:firstLine="570"/>
        <w:rPr>
          <w:rFonts w:ascii="仿宋_GB2312" w:eastAsia="仿宋_GB2312"/>
          <w:b/>
          <w:sz w:val="28"/>
          <w:szCs w:val="28"/>
        </w:rPr>
      </w:pPr>
      <w:r>
        <w:rPr>
          <w:rFonts w:hint="eastAsia" w:ascii="仿宋_GB2312" w:eastAsia="仿宋_GB2312"/>
          <w:b/>
          <w:sz w:val="28"/>
          <w:szCs w:val="28"/>
        </w:rPr>
        <w:t>五、本次招标联系事项：</w:t>
      </w:r>
    </w:p>
    <w:tbl>
      <w:tblPr>
        <w:tblStyle w:val="24"/>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pPr>
              <w:spacing w:line="560" w:lineRule="exact"/>
              <w:rPr>
                <w:rFonts w:ascii="仿宋_GB2312" w:eastAsia="仿宋_GB2312"/>
                <w:sz w:val="28"/>
                <w:szCs w:val="28"/>
              </w:rPr>
            </w:pPr>
            <w:bookmarkStart w:id="110" w:name="OLE_LINK29"/>
            <w:bookmarkEnd w:id="110"/>
            <w:r>
              <w:rPr>
                <w:rFonts w:hint="eastAsia" w:ascii="仿宋_GB2312" w:eastAsia="仿宋_GB2312"/>
                <w:sz w:val="28"/>
                <w:szCs w:val="28"/>
              </w:rPr>
              <w:t>采购人：宜兴市公用燃气管理有限公司</w:t>
            </w:r>
          </w:p>
          <w:p>
            <w:pPr>
              <w:spacing w:line="560" w:lineRule="exact"/>
              <w:rPr>
                <w:rFonts w:ascii="仿宋_GB2312" w:eastAsia="仿宋_GB2312"/>
                <w:sz w:val="28"/>
                <w:szCs w:val="28"/>
              </w:rPr>
            </w:pPr>
            <w:r>
              <w:rPr>
                <w:rFonts w:hint="eastAsia" w:ascii="仿宋_GB2312" w:eastAsia="仿宋_GB2312"/>
                <w:sz w:val="28"/>
                <w:szCs w:val="28"/>
              </w:rPr>
              <w:t>联系人：刘先生，钱先生</w:t>
            </w:r>
          </w:p>
          <w:p>
            <w:pPr>
              <w:spacing w:line="560" w:lineRule="exact"/>
              <w:rPr>
                <w:rFonts w:ascii="仿宋_GB2312" w:eastAsia="仿宋_GB2312"/>
                <w:sz w:val="28"/>
                <w:szCs w:val="28"/>
              </w:rPr>
            </w:pPr>
            <w:r>
              <w:rPr>
                <w:rFonts w:hint="eastAsia" w:ascii="仿宋_GB2312" w:eastAsia="仿宋_GB2312"/>
                <w:sz w:val="28"/>
                <w:szCs w:val="28"/>
              </w:rPr>
              <w:t>联系电话：0510-807188</w:t>
            </w:r>
            <w:r>
              <w:rPr>
                <w:rFonts w:hint="eastAsia" w:ascii="仿宋_GB2312" w:eastAsia="仿宋_GB2312"/>
                <w:sz w:val="28"/>
                <w:szCs w:val="28"/>
                <w:lang w:val="en-US" w:eastAsia="zh-CN"/>
              </w:rPr>
              <w:t>67</w:t>
            </w:r>
            <w:r>
              <w:rPr>
                <w:rFonts w:hint="eastAsia" w:ascii="仿宋_GB2312" w:eastAsia="仿宋_GB2312"/>
                <w:sz w:val="28"/>
                <w:szCs w:val="28"/>
              </w:rPr>
              <w:t>，15358078861</w:t>
            </w:r>
          </w:p>
          <w:p>
            <w:pPr>
              <w:spacing w:line="560" w:lineRule="exact"/>
              <w:rPr>
                <w:rFonts w:ascii="仿宋_GB2312" w:eastAsia="仿宋_GB2312"/>
                <w:sz w:val="28"/>
                <w:szCs w:val="28"/>
              </w:rPr>
            </w:pPr>
            <w:r>
              <w:rPr>
                <w:rFonts w:hint="eastAsia" w:ascii="仿宋_GB2312" w:eastAsia="仿宋_GB2312"/>
                <w:sz w:val="28"/>
                <w:szCs w:val="28"/>
              </w:rPr>
              <w:t>联系地址：宜兴市绿园路528号</w:t>
            </w:r>
            <w:bookmarkStart w:id="111" w:name="_GoBack"/>
            <w:bookmarkEnd w:id="111"/>
          </w:p>
          <w:p>
            <w:pPr>
              <w:spacing w:line="560" w:lineRule="exact"/>
              <w:rPr>
                <w:rFonts w:ascii="仿宋_GB2312" w:eastAsia="仿宋_GB2312"/>
                <w:sz w:val="28"/>
                <w:szCs w:val="28"/>
              </w:rPr>
            </w:pPr>
            <w:r>
              <w:rPr>
                <w:rFonts w:hint="eastAsia" w:ascii="仿宋_GB2312" w:eastAsia="仿宋_GB2312"/>
                <w:sz w:val="28"/>
                <w:szCs w:val="28"/>
              </w:rPr>
              <w:t>邮政编码：214000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center"/>
        <w:rPr>
          <w:rFonts w:ascii="仿宋_GB2312" w:eastAsia="仿宋_GB2312"/>
          <w:sz w:val="28"/>
          <w:szCs w:val="28"/>
        </w:rPr>
      </w:pPr>
      <w:r>
        <w:rPr>
          <w:rFonts w:hint="eastAsia" w:ascii="仿宋" w:hAnsi="仿宋" w:eastAsia="仿宋" w:cs="仿宋"/>
          <w:sz w:val="28"/>
          <w:szCs w:val="28"/>
        </w:rPr>
        <w:t>宜兴市公用燃气管理有限公司</w:t>
      </w:r>
      <w:r>
        <w:rPr>
          <w:rFonts w:hint="eastAsia" w:ascii="仿宋_GB2312" w:eastAsia="仿宋_GB2312"/>
          <w:sz w:val="28"/>
          <w:szCs w:val="28"/>
        </w:rPr>
        <w:t xml:space="preserve">                                                2023年4月21日</w:t>
      </w:r>
    </w:p>
    <w:p>
      <w:pPr>
        <w:jc w:val="center"/>
        <w:rPr>
          <w:rFonts w:ascii="宋体" w:hAnsi="宋体" w:eastAsia="宋体" w:cs="Times New Roman"/>
          <w:sz w:val="24"/>
          <w:szCs w:val="21"/>
          <w:lang w:val="zh-CN"/>
        </w:rPr>
      </w:pPr>
      <w:r>
        <w:rPr>
          <w:rFonts w:hint="eastAsia" w:ascii="宋体" w:hAnsi="宋体" w:eastAsia="宋体" w:cs="Times New Roman"/>
          <w:sz w:val="24"/>
          <w:szCs w:val="21"/>
          <w:lang w:val="zh-CN"/>
        </w:rPr>
        <w:t xml:space="preserve">  </w:t>
      </w:r>
    </w:p>
    <w:sectPr>
      <w:footerReference r:id="rId8" w:type="default"/>
      <w:pgSz w:w="11907" w:h="16840"/>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altName w:val="Malgun Gothic Semilight"/>
    <w:panose1 w:val="0201080004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721"/>
    </w:sdtPr>
    <w:sdtContent>
      <w:p>
        <w:pPr>
          <w:pStyle w:val="17"/>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rPr>
        <w:lang w:val="zh-CN"/>
      </w:rPr>
      <w:t>-</w:t>
    </w:r>
    <w:r>
      <w:t xml:space="preserve"> 1 -</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39722"/>
    </w:sdtPr>
    <w:sdtContent>
      <w:p>
        <w:pPr>
          <w:pStyle w:val="1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pict>
        <v:shape id="文本框 3075"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tentative="0">
      <w:start w:val="1"/>
      <w:numFmt w:val="decimal"/>
      <w:lvlText w:val="%1."/>
      <w:lvlJc w:val="left"/>
      <w:pPr>
        <w:tabs>
          <w:tab w:val="left" w:pos="210"/>
        </w:tabs>
        <w:ind w:left="210" w:hanging="210"/>
      </w:pPr>
      <w:rPr>
        <w:rFonts w:hint="default" w:ascii="Times New Roman" w:cs="Times New Roman"/>
      </w:rPr>
    </w:lvl>
  </w:abstractNum>
  <w:abstractNum w:abstractNumId="3">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4">
    <w:nsid w:val="0000000F"/>
    <w:multiLevelType w:val="singleLevel"/>
    <w:tmpl w:val="0000000F"/>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5">
    <w:nsid w:val="00000018"/>
    <w:multiLevelType w:val="singleLevel"/>
    <w:tmpl w:val="00000018"/>
    <w:lvl w:ilvl="0" w:tentative="0">
      <w:start w:val="4"/>
      <w:numFmt w:val="chineseCounting"/>
      <w:suff w:val="nothing"/>
      <w:lvlText w:val="%1、"/>
      <w:lvlJc w:val="left"/>
    </w:lvl>
  </w:abstractNum>
  <w:abstractNum w:abstractNumId="6">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7">
    <w:nsid w:val="0000001A"/>
    <w:multiLevelType w:val="singleLevel"/>
    <w:tmpl w:val="0000001A"/>
    <w:lvl w:ilvl="0" w:tentative="0">
      <w:start w:val="1"/>
      <w:numFmt w:val="decimal"/>
      <w:suff w:val="nothing"/>
      <w:lvlText w:val="%1．"/>
      <w:lvlJc w:val="left"/>
      <w:pPr>
        <w:ind w:left="0" w:firstLine="400"/>
      </w:pPr>
      <w:rPr>
        <w:rFonts w:hint="default"/>
      </w:rPr>
    </w:lvl>
  </w:abstractNum>
  <w:abstractNum w:abstractNumId="8">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9">
    <w:nsid w:val="0000001C"/>
    <w:multiLevelType w:val="singleLevel"/>
    <w:tmpl w:val="0000001C"/>
    <w:lvl w:ilvl="0" w:tentative="0">
      <w:start w:val="1"/>
      <w:numFmt w:val="decimal"/>
      <w:suff w:val="nothing"/>
      <w:lvlText w:val="%1．"/>
      <w:lvlJc w:val="left"/>
      <w:pPr>
        <w:ind w:left="0" w:firstLine="400"/>
      </w:pPr>
      <w:rPr>
        <w:rFonts w:hint="default" w:ascii="宋体" w:hAnsi="宋体" w:eastAsia="宋体" w:cs="宋体"/>
        <w:sz w:val="20"/>
        <w:szCs w:val="20"/>
      </w:rPr>
    </w:lvl>
  </w:abstractNum>
  <w:abstractNum w:abstractNumId="10">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2">
    <w:nsid w:val="00000027"/>
    <w:multiLevelType w:val="singleLevel"/>
    <w:tmpl w:val="00000027"/>
    <w:lvl w:ilvl="0" w:tentative="0">
      <w:start w:val="1"/>
      <w:numFmt w:val="decimal"/>
      <w:suff w:val="nothing"/>
      <w:lvlText w:val="%1．"/>
      <w:lvlJc w:val="left"/>
      <w:pPr>
        <w:ind w:left="0" w:firstLine="400"/>
      </w:pPr>
      <w:rPr>
        <w:rFonts w:hint="default"/>
      </w:rPr>
    </w:lvl>
  </w:abstractNum>
  <w:abstractNum w:abstractNumId="13">
    <w:nsid w:val="0000002A"/>
    <w:multiLevelType w:val="singleLevel"/>
    <w:tmpl w:val="0000002A"/>
    <w:lvl w:ilvl="0" w:tentative="0">
      <w:start w:val="8"/>
      <w:numFmt w:val="chineseCounting"/>
      <w:suff w:val="nothing"/>
      <w:lvlText w:val="%1、"/>
      <w:lvlJc w:val="left"/>
    </w:lvl>
  </w:abstractNum>
  <w:abstractNum w:abstractNumId="14">
    <w:nsid w:val="18E95F96"/>
    <w:multiLevelType w:val="singleLevel"/>
    <w:tmpl w:val="18E95F96"/>
    <w:lvl w:ilvl="0" w:tentative="0">
      <w:start w:val="1"/>
      <w:numFmt w:val="decimalEnclosedCircleChinese"/>
      <w:suff w:val="nothing"/>
      <w:lvlText w:val="%1　"/>
      <w:lvlJc w:val="left"/>
      <w:pPr>
        <w:ind w:left="26" w:firstLine="400"/>
      </w:pPr>
      <w:rPr>
        <w:rFonts w:hint="eastAsia"/>
      </w:rPr>
    </w:lvl>
  </w:abstractNum>
  <w:abstractNum w:abstractNumId="15">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6">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7">
    <w:nsid w:val="59B65253"/>
    <w:multiLevelType w:val="singleLevel"/>
    <w:tmpl w:val="59B65253"/>
    <w:lvl w:ilvl="0" w:tentative="0">
      <w:start w:val="1"/>
      <w:numFmt w:val="decimalEnclosedCircleChinese"/>
      <w:suff w:val="nothing"/>
      <w:lvlText w:val="%1　"/>
      <w:lvlJc w:val="left"/>
      <w:pPr>
        <w:ind w:left="-116" w:firstLine="400"/>
      </w:pPr>
      <w:rPr>
        <w:rFonts w:hint="eastAsia"/>
      </w:rPr>
    </w:lvl>
  </w:abstractNum>
  <w:abstractNum w:abstractNumId="18">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9">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0">
    <w:nsid w:val="6E45184D"/>
    <w:multiLevelType w:val="singleLevel"/>
    <w:tmpl w:val="6E45184D"/>
    <w:lvl w:ilvl="0" w:tentative="0">
      <w:start w:val="1"/>
      <w:numFmt w:val="decimalEnclosedCircleChinese"/>
      <w:suff w:val="nothing"/>
      <w:lvlText w:val="%1　"/>
      <w:lvlJc w:val="left"/>
      <w:pPr>
        <w:ind w:left="26" w:firstLine="400"/>
      </w:pPr>
      <w:rPr>
        <w:rFonts w:hint="eastAsia"/>
      </w:rPr>
    </w:lvl>
  </w:abstractNum>
  <w:abstractNum w:abstractNumId="21">
    <w:nsid w:val="75B33305"/>
    <w:multiLevelType w:val="singleLevel"/>
    <w:tmpl w:val="75B33305"/>
    <w:lvl w:ilvl="0" w:tentative="0">
      <w:start w:val="1"/>
      <w:numFmt w:val="decimal"/>
      <w:suff w:val="nothing"/>
      <w:lvlText w:val="%1．"/>
      <w:lvlJc w:val="left"/>
      <w:pPr>
        <w:ind w:left="0" w:firstLine="400"/>
      </w:pPr>
      <w:rPr>
        <w:rFonts w:hint="default"/>
      </w:rPr>
    </w:lvl>
  </w:abstractNum>
  <w:num w:numId="1">
    <w:abstractNumId w:val="19"/>
  </w:num>
  <w:num w:numId="2">
    <w:abstractNumId w:val="20"/>
  </w:num>
  <w:num w:numId="3">
    <w:abstractNumId w:val="3"/>
  </w:num>
  <w:num w:numId="4">
    <w:abstractNumId w:val="18"/>
  </w:num>
  <w:num w:numId="5">
    <w:abstractNumId w:val="5"/>
  </w:num>
  <w:num w:numId="6">
    <w:abstractNumId w:val="6"/>
  </w:num>
  <w:num w:numId="7">
    <w:abstractNumId w:val="15"/>
  </w:num>
  <w:num w:numId="8">
    <w:abstractNumId w:val="16"/>
  </w:num>
  <w:num w:numId="9">
    <w:abstractNumId w:val="0"/>
  </w:num>
  <w:num w:numId="10">
    <w:abstractNumId w:val="10"/>
  </w:num>
  <w:num w:numId="11">
    <w:abstractNumId w:val="11"/>
  </w:num>
  <w:num w:numId="12">
    <w:abstractNumId w:val="12"/>
  </w:num>
  <w:num w:numId="13">
    <w:abstractNumId w:val="21"/>
  </w:num>
  <w:num w:numId="14">
    <w:abstractNumId w:val="4"/>
  </w:num>
  <w:num w:numId="15">
    <w:abstractNumId w:val="9"/>
  </w:num>
  <w:num w:numId="16">
    <w:abstractNumId w:val="13"/>
  </w:num>
  <w:num w:numId="17">
    <w:abstractNumId w:val="7"/>
  </w:num>
  <w:num w:numId="18">
    <w:abstractNumId w:val="8"/>
  </w:num>
  <w:num w:numId="19">
    <w:abstractNumId w:val="1"/>
  </w:num>
  <w:num w:numId="20">
    <w:abstractNumId w:val="17"/>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2MzZlZjU4YWNmMjFjMzdlZDFhN2U4OWJiYjUzZDkifQ=="/>
  </w:docVars>
  <w:rsids>
    <w:rsidRoot w:val="00B03A14"/>
    <w:rsid w:val="0000364F"/>
    <w:rsid w:val="000057D9"/>
    <w:rsid w:val="000069E6"/>
    <w:rsid w:val="00007C88"/>
    <w:rsid w:val="00031420"/>
    <w:rsid w:val="00031564"/>
    <w:rsid w:val="00047718"/>
    <w:rsid w:val="0006506C"/>
    <w:rsid w:val="00065E4E"/>
    <w:rsid w:val="0006629F"/>
    <w:rsid w:val="00070EAE"/>
    <w:rsid w:val="00070F2E"/>
    <w:rsid w:val="00073CCA"/>
    <w:rsid w:val="00074D4A"/>
    <w:rsid w:val="000765FE"/>
    <w:rsid w:val="00077B03"/>
    <w:rsid w:val="000956E9"/>
    <w:rsid w:val="000975CD"/>
    <w:rsid w:val="000A1DCB"/>
    <w:rsid w:val="000B1CE7"/>
    <w:rsid w:val="000B4C70"/>
    <w:rsid w:val="000B7EB4"/>
    <w:rsid w:val="000C1832"/>
    <w:rsid w:val="000C69C5"/>
    <w:rsid w:val="000D1022"/>
    <w:rsid w:val="000D2C6F"/>
    <w:rsid w:val="000D3A8A"/>
    <w:rsid w:val="000D3B9A"/>
    <w:rsid w:val="000D41AC"/>
    <w:rsid w:val="000E0284"/>
    <w:rsid w:val="000E1F0D"/>
    <w:rsid w:val="000E65C5"/>
    <w:rsid w:val="000F2AC6"/>
    <w:rsid w:val="000F4432"/>
    <w:rsid w:val="000F4DF8"/>
    <w:rsid w:val="000F5B6F"/>
    <w:rsid w:val="000F6B59"/>
    <w:rsid w:val="00106C5A"/>
    <w:rsid w:val="00115B8A"/>
    <w:rsid w:val="00117A3B"/>
    <w:rsid w:val="00124DAC"/>
    <w:rsid w:val="00125E68"/>
    <w:rsid w:val="00126748"/>
    <w:rsid w:val="00133785"/>
    <w:rsid w:val="0013504C"/>
    <w:rsid w:val="00140D34"/>
    <w:rsid w:val="00156417"/>
    <w:rsid w:val="001567CA"/>
    <w:rsid w:val="001654B4"/>
    <w:rsid w:val="00176D71"/>
    <w:rsid w:val="00196D5A"/>
    <w:rsid w:val="001A4B36"/>
    <w:rsid w:val="001B544A"/>
    <w:rsid w:val="001B7BDC"/>
    <w:rsid w:val="001C3C4B"/>
    <w:rsid w:val="001D69DC"/>
    <w:rsid w:val="001F64DA"/>
    <w:rsid w:val="0020521F"/>
    <w:rsid w:val="00206C0A"/>
    <w:rsid w:val="0020700C"/>
    <w:rsid w:val="002102B0"/>
    <w:rsid w:val="00212725"/>
    <w:rsid w:val="00213A7A"/>
    <w:rsid w:val="0022382C"/>
    <w:rsid w:val="002310AA"/>
    <w:rsid w:val="00246A98"/>
    <w:rsid w:val="00261C14"/>
    <w:rsid w:val="002647D5"/>
    <w:rsid w:val="0026697F"/>
    <w:rsid w:val="00270C0F"/>
    <w:rsid w:val="002718AB"/>
    <w:rsid w:val="00272F8E"/>
    <w:rsid w:val="0028001E"/>
    <w:rsid w:val="002835A2"/>
    <w:rsid w:val="00287669"/>
    <w:rsid w:val="00294869"/>
    <w:rsid w:val="00295299"/>
    <w:rsid w:val="002B069B"/>
    <w:rsid w:val="002B0AE3"/>
    <w:rsid w:val="002C6A33"/>
    <w:rsid w:val="002D4811"/>
    <w:rsid w:val="002E2B80"/>
    <w:rsid w:val="002F0D7D"/>
    <w:rsid w:val="002F19FF"/>
    <w:rsid w:val="002F48D9"/>
    <w:rsid w:val="00300543"/>
    <w:rsid w:val="00300DC6"/>
    <w:rsid w:val="003102B6"/>
    <w:rsid w:val="003120EA"/>
    <w:rsid w:val="00313190"/>
    <w:rsid w:val="00315F22"/>
    <w:rsid w:val="003217A2"/>
    <w:rsid w:val="00323289"/>
    <w:rsid w:val="0032719A"/>
    <w:rsid w:val="003315C5"/>
    <w:rsid w:val="00341635"/>
    <w:rsid w:val="00347A54"/>
    <w:rsid w:val="00351435"/>
    <w:rsid w:val="00352364"/>
    <w:rsid w:val="00361462"/>
    <w:rsid w:val="00362841"/>
    <w:rsid w:val="00362C89"/>
    <w:rsid w:val="0036530C"/>
    <w:rsid w:val="00365B36"/>
    <w:rsid w:val="003B672E"/>
    <w:rsid w:val="003C4EA4"/>
    <w:rsid w:val="003D0FCF"/>
    <w:rsid w:val="003D1D67"/>
    <w:rsid w:val="003D2307"/>
    <w:rsid w:val="003E46F4"/>
    <w:rsid w:val="003F003F"/>
    <w:rsid w:val="003F0C08"/>
    <w:rsid w:val="003F0E48"/>
    <w:rsid w:val="0040236B"/>
    <w:rsid w:val="0040406C"/>
    <w:rsid w:val="004116F0"/>
    <w:rsid w:val="004134F2"/>
    <w:rsid w:val="00423880"/>
    <w:rsid w:val="00424BF7"/>
    <w:rsid w:val="00433D8F"/>
    <w:rsid w:val="00440627"/>
    <w:rsid w:val="00443AF0"/>
    <w:rsid w:val="00454676"/>
    <w:rsid w:val="00464E75"/>
    <w:rsid w:val="004663A5"/>
    <w:rsid w:val="0047078F"/>
    <w:rsid w:val="00470847"/>
    <w:rsid w:val="00471D91"/>
    <w:rsid w:val="0047319B"/>
    <w:rsid w:val="00473971"/>
    <w:rsid w:val="00474450"/>
    <w:rsid w:val="00492AEC"/>
    <w:rsid w:val="004939FE"/>
    <w:rsid w:val="004948D5"/>
    <w:rsid w:val="004A6057"/>
    <w:rsid w:val="004B11AA"/>
    <w:rsid w:val="004B231B"/>
    <w:rsid w:val="004B335C"/>
    <w:rsid w:val="004C5850"/>
    <w:rsid w:val="004C67D0"/>
    <w:rsid w:val="004C6D22"/>
    <w:rsid w:val="004D257A"/>
    <w:rsid w:val="004E50E3"/>
    <w:rsid w:val="004E6F5A"/>
    <w:rsid w:val="004F4131"/>
    <w:rsid w:val="005239D0"/>
    <w:rsid w:val="00526C03"/>
    <w:rsid w:val="00530A20"/>
    <w:rsid w:val="005426D0"/>
    <w:rsid w:val="005430A7"/>
    <w:rsid w:val="00546AF5"/>
    <w:rsid w:val="005510B1"/>
    <w:rsid w:val="00551FFF"/>
    <w:rsid w:val="0055432D"/>
    <w:rsid w:val="00555974"/>
    <w:rsid w:val="00563492"/>
    <w:rsid w:val="00566BFF"/>
    <w:rsid w:val="00573435"/>
    <w:rsid w:val="00575AA1"/>
    <w:rsid w:val="00580510"/>
    <w:rsid w:val="00582E87"/>
    <w:rsid w:val="005836B9"/>
    <w:rsid w:val="005879CA"/>
    <w:rsid w:val="005B0E50"/>
    <w:rsid w:val="005C19EE"/>
    <w:rsid w:val="005D1373"/>
    <w:rsid w:val="005D74B5"/>
    <w:rsid w:val="005E06D0"/>
    <w:rsid w:val="005F29E7"/>
    <w:rsid w:val="005F780B"/>
    <w:rsid w:val="00602B50"/>
    <w:rsid w:val="00610CDC"/>
    <w:rsid w:val="006149C1"/>
    <w:rsid w:val="0061763B"/>
    <w:rsid w:val="00630225"/>
    <w:rsid w:val="00633682"/>
    <w:rsid w:val="00635C77"/>
    <w:rsid w:val="00637475"/>
    <w:rsid w:val="006424F3"/>
    <w:rsid w:val="006646EC"/>
    <w:rsid w:val="006665AF"/>
    <w:rsid w:val="00667B7A"/>
    <w:rsid w:val="00673495"/>
    <w:rsid w:val="0067355B"/>
    <w:rsid w:val="00675F40"/>
    <w:rsid w:val="00683E61"/>
    <w:rsid w:val="00684E5D"/>
    <w:rsid w:val="00692B5B"/>
    <w:rsid w:val="006951FD"/>
    <w:rsid w:val="006A48FC"/>
    <w:rsid w:val="006B70F5"/>
    <w:rsid w:val="006C3A2A"/>
    <w:rsid w:val="006C3D71"/>
    <w:rsid w:val="006C40C9"/>
    <w:rsid w:val="006D0733"/>
    <w:rsid w:val="006D4078"/>
    <w:rsid w:val="006D7392"/>
    <w:rsid w:val="006E0E25"/>
    <w:rsid w:val="006E116E"/>
    <w:rsid w:val="006E593C"/>
    <w:rsid w:val="006E64D5"/>
    <w:rsid w:val="006E6C80"/>
    <w:rsid w:val="006E7A81"/>
    <w:rsid w:val="006F05F2"/>
    <w:rsid w:val="006F3812"/>
    <w:rsid w:val="00700883"/>
    <w:rsid w:val="00715326"/>
    <w:rsid w:val="00716746"/>
    <w:rsid w:val="007210D0"/>
    <w:rsid w:val="007225CF"/>
    <w:rsid w:val="00734A61"/>
    <w:rsid w:val="00742BA9"/>
    <w:rsid w:val="00746763"/>
    <w:rsid w:val="007479A4"/>
    <w:rsid w:val="0075475E"/>
    <w:rsid w:val="007560A2"/>
    <w:rsid w:val="007616FA"/>
    <w:rsid w:val="00761E24"/>
    <w:rsid w:val="00762B9E"/>
    <w:rsid w:val="00764329"/>
    <w:rsid w:val="0077304E"/>
    <w:rsid w:val="007759DC"/>
    <w:rsid w:val="00777516"/>
    <w:rsid w:val="0078053C"/>
    <w:rsid w:val="00797EAB"/>
    <w:rsid w:val="007A13D5"/>
    <w:rsid w:val="007A6639"/>
    <w:rsid w:val="007B1BA6"/>
    <w:rsid w:val="007C35D5"/>
    <w:rsid w:val="007D0642"/>
    <w:rsid w:val="007D7320"/>
    <w:rsid w:val="007F40B6"/>
    <w:rsid w:val="007F53DB"/>
    <w:rsid w:val="00802518"/>
    <w:rsid w:val="0082418E"/>
    <w:rsid w:val="00824C6D"/>
    <w:rsid w:val="0086472B"/>
    <w:rsid w:val="00865D99"/>
    <w:rsid w:val="00877B9D"/>
    <w:rsid w:val="00884EF7"/>
    <w:rsid w:val="00885FA6"/>
    <w:rsid w:val="0089015A"/>
    <w:rsid w:val="008A0CCC"/>
    <w:rsid w:val="008B036A"/>
    <w:rsid w:val="008B1FFB"/>
    <w:rsid w:val="008B460F"/>
    <w:rsid w:val="008B517A"/>
    <w:rsid w:val="008B6AA3"/>
    <w:rsid w:val="008B79A7"/>
    <w:rsid w:val="008B7BA4"/>
    <w:rsid w:val="008C3A69"/>
    <w:rsid w:val="008C757D"/>
    <w:rsid w:val="008D2731"/>
    <w:rsid w:val="008D2A3D"/>
    <w:rsid w:val="008D6B64"/>
    <w:rsid w:val="008E14B8"/>
    <w:rsid w:val="008E4133"/>
    <w:rsid w:val="008F3CC7"/>
    <w:rsid w:val="008F5D6A"/>
    <w:rsid w:val="00903D2E"/>
    <w:rsid w:val="00906398"/>
    <w:rsid w:val="00910843"/>
    <w:rsid w:val="009262A9"/>
    <w:rsid w:val="00926A89"/>
    <w:rsid w:val="00936C14"/>
    <w:rsid w:val="00936D5F"/>
    <w:rsid w:val="009405BF"/>
    <w:rsid w:val="00946EEA"/>
    <w:rsid w:val="0096109B"/>
    <w:rsid w:val="009736F0"/>
    <w:rsid w:val="00974B5B"/>
    <w:rsid w:val="00983DBF"/>
    <w:rsid w:val="009A000F"/>
    <w:rsid w:val="009C3569"/>
    <w:rsid w:val="009C4468"/>
    <w:rsid w:val="009D42DF"/>
    <w:rsid w:val="009D72D8"/>
    <w:rsid w:val="009E53D8"/>
    <w:rsid w:val="00A06AA5"/>
    <w:rsid w:val="00A13269"/>
    <w:rsid w:val="00A20EC2"/>
    <w:rsid w:val="00A24387"/>
    <w:rsid w:val="00A25BC6"/>
    <w:rsid w:val="00A34F8E"/>
    <w:rsid w:val="00A4365E"/>
    <w:rsid w:val="00A46524"/>
    <w:rsid w:val="00A556E4"/>
    <w:rsid w:val="00A668FC"/>
    <w:rsid w:val="00A71CF5"/>
    <w:rsid w:val="00A72279"/>
    <w:rsid w:val="00A738A3"/>
    <w:rsid w:val="00A84C20"/>
    <w:rsid w:val="00A906D4"/>
    <w:rsid w:val="00A93D45"/>
    <w:rsid w:val="00AA126A"/>
    <w:rsid w:val="00AA466C"/>
    <w:rsid w:val="00AA544E"/>
    <w:rsid w:val="00AB36F2"/>
    <w:rsid w:val="00AB409D"/>
    <w:rsid w:val="00AB5626"/>
    <w:rsid w:val="00AB58FE"/>
    <w:rsid w:val="00AD34B8"/>
    <w:rsid w:val="00AE3308"/>
    <w:rsid w:val="00AE602B"/>
    <w:rsid w:val="00B03A14"/>
    <w:rsid w:val="00B06DD7"/>
    <w:rsid w:val="00B15642"/>
    <w:rsid w:val="00B343B8"/>
    <w:rsid w:val="00B45533"/>
    <w:rsid w:val="00B52C3C"/>
    <w:rsid w:val="00B52E55"/>
    <w:rsid w:val="00B53255"/>
    <w:rsid w:val="00B578E9"/>
    <w:rsid w:val="00B61FE5"/>
    <w:rsid w:val="00B712E2"/>
    <w:rsid w:val="00B82643"/>
    <w:rsid w:val="00B857A8"/>
    <w:rsid w:val="00B875DC"/>
    <w:rsid w:val="00B93D3B"/>
    <w:rsid w:val="00BA5BE1"/>
    <w:rsid w:val="00BA65F3"/>
    <w:rsid w:val="00BB4DDD"/>
    <w:rsid w:val="00BB569E"/>
    <w:rsid w:val="00BB6CCC"/>
    <w:rsid w:val="00BB767C"/>
    <w:rsid w:val="00BB79F0"/>
    <w:rsid w:val="00BC1F62"/>
    <w:rsid w:val="00BC2CAB"/>
    <w:rsid w:val="00BD32F5"/>
    <w:rsid w:val="00BD52EC"/>
    <w:rsid w:val="00C032C7"/>
    <w:rsid w:val="00C0629A"/>
    <w:rsid w:val="00C1289E"/>
    <w:rsid w:val="00C13F5B"/>
    <w:rsid w:val="00C15565"/>
    <w:rsid w:val="00C318C4"/>
    <w:rsid w:val="00C33C1B"/>
    <w:rsid w:val="00C36F20"/>
    <w:rsid w:val="00C57967"/>
    <w:rsid w:val="00C57A05"/>
    <w:rsid w:val="00C664AF"/>
    <w:rsid w:val="00C82F32"/>
    <w:rsid w:val="00C929F5"/>
    <w:rsid w:val="00C9321E"/>
    <w:rsid w:val="00CA431F"/>
    <w:rsid w:val="00CB3ADF"/>
    <w:rsid w:val="00CB64D6"/>
    <w:rsid w:val="00CC309F"/>
    <w:rsid w:val="00CD3F4F"/>
    <w:rsid w:val="00CD6E81"/>
    <w:rsid w:val="00CE502C"/>
    <w:rsid w:val="00CF2B3B"/>
    <w:rsid w:val="00CF6EB3"/>
    <w:rsid w:val="00D01904"/>
    <w:rsid w:val="00D038EF"/>
    <w:rsid w:val="00D05139"/>
    <w:rsid w:val="00D11C8B"/>
    <w:rsid w:val="00D12E6F"/>
    <w:rsid w:val="00D156FE"/>
    <w:rsid w:val="00D17B31"/>
    <w:rsid w:val="00D2148C"/>
    <w:rsid w:val="00D22D31"/>
    <w:rsid w:val="00D3024B"/>
    <w:rsid w:val="00D36ADC"/>
    <w:rsid w:val="00D40529"/>
    <w:rsid w:val="00D443B3"/>
    <w:rsid w:val="00D528C3"/>
    <w:rsid w:val="00D54294"/>
    <w:rsid w:val="00D54B12"/>
    <w:rsid w:val="00D55973"/>
    <w:rsid w:val="00D81F95"/>
    <w:rsid w:val="00D85C39"/>
    <w:rsid w:val="00D8759B"/>
    <w:rsid w:val="00DB4396"/>
    <w:rsid w:val="00DC69F8"/>
    <w:rsid w:val="00DD5D26"/>
    <w:rsid w:val="00DE103A"/>
    <w:rsid w:val="00DF5361"/>
    <w:rsid w:val="00DF646C"/>
    <w:rsid w:val="00E00C8E"/>
    <w:rsid w:val="00E05B33"/>
    <w:rsid w:val="00E06773"/>
    <w:rsid w:val="00E072ED"/>
    <w:rsid w:val="00E1251B"/>
    <w:rsid w:val="00E15CDD"/>
    <w:rsid w:val="00E23EB9"/>
    <w:rsid w:val="00E25C71"/>
    <w:rsid w:val="00E30041"/>
    <w:rsid w:val="00E336E9"/>
    <w:rsid w:val="00E54E2B"/>
    <w:rsid w:val="00E57253"/>
    <w:rsid w:val="00E6637D"/>
    <w:rsid w:val="00E86A2B"/>
    <w:rsid w:val="00E9106C"/>
    <w:rsid w:val="00E91A23"/>
    <w:rsid w:val="00E93B2F"/>
    <w:rsid w:val="00E95984"/>
    <w:rsid w:val="00EA01AD"/>
    <w:rsid w:val="00EA1956"/>
    <w:rsid w:val="00EB6B1C"/>
    <w:rsid w:val="00EC1999"/>
    <w:rsid w:val="00EC3E13"/>
    <w:rsid w:val="00ED2ADA"/>
    <w:rsid w:val="00ED2B49"/>
    <w:rsid w:val="00EE088D"/>
    <w:rsid w:val="00EE15E3"/>
    <w:rsid w:val="00EE611C"/>
    <w:rsid w:val="00EE7DA0"/>
    <w:rsid w:val="00EF0F10"/>
    <w:rsid w:val="00EF3A6F"/>
    <w:rsid w:val="00EF3D63"/>
    <w:rsid w:val="00F048BD"/>
    <w:rsid w:val="00F10257"/>
    <w:rsid w:val="00F1115D"/>
    <w:rsid w:val="00F142A0"/>
    <w:rsid w:val="00F17B30"/>
    <w:rsid w:val="00F308C2"/>
    <w:rsid w:val="00F32F60"/>
    <w:rsid w:val="00F346B7"/>
    <w:rsid w:val="00F46250"/>
    <w:rsid w:val="00F53253"/>
    <w:rsid w:val="00F542C6"/>
    <w:rsid w:val="00F5518A"/>
    <w:rsid w:val="00F572E3"/>
    <w:rsid w:val="00F5735A"/>
    <w:rsid w:val="00F6324E"/>
    <w:rsid w:val="00F6398F"/>
    <w:rsid w:val="00F70A45"/>
    <w:rsid w:val="00F73111"/>
    <w:rsid w:val="00F7455E"/>
    <w:rsid w:val="00F75B5B"/>
    <w:rsid w:val="00F75BB7"/>
    <w:rsid w:val="00F93B93"/>
    <w:rsid w:val="00F94CE0"/>
    <w:rsid w:val="00F95170"/>
    <w:rsid w:val="00F96A2F"/>
    <w:rsid w:val="00FA0394"/>
    <w:rsid w:val="00FB0BB2"/>
    <w:rsid w:val="00FC1963"/>
    <w:rsid w:val="00FC2760"/>
    <w:rsid w:val="00FC650B"/>
    <w:rsid w:val="00FC7666"/>
    <w:rsid w:val="00FD22CA"/>
    <w:rsid w:val="00FD5993"/>
    <w:rsid w:val="00FD75A7"/>
    <w:rsid w:val="00FF1ACD"/>
    <w:rsid w:val="00FF1FD5"/>
    <w:rsid w:val="00FF5F36"/>
    <w:rsid w:val="01BF5A50"/>
    <w:rsid w:val="01D303E3"/>
    <w:rsid w:val="030376EE"/>
    <w:rsid w:val="036066C3"/>
    <w:rsid w:val="03C74493"/>
    <w:rsid w:val="066F3664"/>
    <w:rsid w:val="08477A2E"/>
    <w:rsid w:val="0A217728"/>
    <w:rsid w:val="0A99164E"/>
    <w:rsid w:val="0BCB1E8D"/>
    <w:rsid w:val="0C9873D3"/>
    <w:rsid w:val="0FBB4FEC"/>
    <w:rsid w:val="1001144E"/>
    <w:rsid w:val="100F76D9"/>
    <w:rsid w:val="10793E6A"/>
    <w:rsid w:val="12E106B0"/>
    <w:rsid w:val="1328362C"/>
    <w:rsid w:val="144A4A8F"/>
    <w:rsid w:val="15703208"/>
    <w:rsid w:val="174A303A"/>
    <w:rsid w:val="191510AD"/>
    <w:rsid w:val="1A895F79"/>
    <w:rsid w:val="1A9F40C1"/>
    <w:rsid w:val="1DD37B1C"/>
    <w:rsid w:val="1E343B94"/>
    <w:rsid w:val="1FEE4CB6"/>
    <w:rsid w:val="22960428"/>
    <w:rsid w:val="22B13EF7"/>
    <w:rsid w:val="25136D15"/>
    <w:rsid w:val="254932B9"/>
    <w:rsid w:val="25A93F71"/>
    <w:rsid w:val="279D2FA9"/>
    <w:rsid w:val="28D952F2"/>
    <w:rsid w:val="290F7E49"/>
    <w:rsid w:val="29BF5055"/>
    <w:rsid w:val="29FC1747"/>
    <w:rsid w:val="2A087552"/>
    <w:rsid w:val="2ABC7FF4"/>
    <w:rsid w:val="2D7A0017"/>
    <w:rsid w:val="2FF21525"/>
    <w:rsid w:val="308C1FFE"/>
    <w:rsid w:val="30A17469"/>
    <w:rsid w:val="30C3748F"/>
    <w:rsid w:val="30F46F58"/>
    <w:rsid w:val="348F6959"/>
    <w:rsid w:val="35CF0519"/>
    <w:rsid w:val="36AC3612"/>
    <w:rsid w:val="375D6DCD"/>
    <w:rsid w:val="392E47B3"/>
    <w:rsid w:val="394E5BCB"/>
    <w:rsid w:val="394F7B57"/>
    <w:rsid w:val="3A445238"/>
    <w:rsid w:val="3A77613D"/>
    <w:rsid w:val="3A776764"/>
    <w:rsid w:val="3AAD5BAB"/>
    <w:rsid w:val="3C0E5DF8"/>
    <w:rsid w:val="3D864770"/>
    <w:rsid w:val="3D9A72B8"/>
    <w:rsid w:val="407469B6"/>
    <w:rsid w:val="41665FC1"/>
    <w:rsid w:val="4168282C"/>
    <w:rsid w:val="45A16FB6"/>
    <w:rsid w:val="47A07772"/>
    <w:rsid w:val="49993098"/>
    <w:rsid w:val="4A9F0A04"/>
    <w:rsid w:val="4ED211ED"/>
    <w:rsid w:val="4FD57A42"/>
    <w:rsid w:val="51481DCD"/>
    <w:rsid w:val="51E342BC"/>
    <w:rsid w:val="528F5E6A"/>
    <w:rsid w:val="52DE3C62"/>
    <w:rsid w:val="53F56FDD"/>
    <w:rsid w:val="545C32C3"/>
    <w:rsid w:val="560E3125"/>
    <w:rsid w:val="57333C04"/>
    <w:rsid w:val="57A34BE9"/>
    <w:rsid w:val="59281422"/>
    <w:rsid w:val="5AA05C4C"/>
    <w:rsid w:val="5ADC3C17"/>
    <w:rsid w:val="5B920B84"/>
    <w:rsid w:val="5F4E6765"/>
    <w:rsid w:val="5FD53742"/>
    <w:rsid w:val="60207DAE"/>
    <w:rsid w:val="621A3249"/>
    <w:rsid w:val="62E428C6"/>
    <w:rsid w:val="635428C5"/>
    <w:rsid w:val="63B14C75"/>
    <w:rsid w:val="64281C7B"/>
    <w:rsid w:val="66D641C2"/>
    <w:rsid w:val="672A5D0A"/>
    <w:rsid w:val="67AC4971"/>
    <w:rsid w:val="68D30FAC"/>
    <w:rsid w:val="69046561"/>
    <w:rsid w:val="69091CE9"/>
    <w:rsid w:val="6AD25C1C"/>
    <w:rsid w:val="6B0928CD"/>
    <w:rsid w:val="6BE14931"/>
    <w:rsid w:val="6C5E2F20"/>
    <w:rsid w:val="6C8C52DF"/>
    <w:rsid w:val="6E47372B"/>
    <w:rsid w:val="6F493653"/>
    <w:rsid w:val="73932BC2"/>
    <w:rsid w:val="745F4018"/>
    <w:rsid w:val="774E379A"/>
    <w:rsid w:val="79694280"/>
    <w:rsid w:val="79FC3536"/>
    <w:rsid w:val="7A3D1136"/>
    <w:rsid w:val="7B962CBF"/>
    <w:rsid w:val="7DC8084B"/>
    <w:rsid w:val="7DE858A5"/>
    <w:rsid w:val="7EAD1A12"/>
    <w:rsid w:val="7EC13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5">
    <w:name w:val="heading 2"/>
    <w:basedOn w:val="1"/>
    <w:next w:val="1"/>
    <w:link w:val="34"/>
    <w:qFormat/>
    <w:uiPriority w:val="0"/>
    <w:pPr>
      <w:keepNext/>
      <w:keepLines/>
      <w:spacing w:before="260" w:after="260" w:line="413" w:lineRule="auto"/>
      <w:outlineLvl w:val="1"/>
    </w:pPr>
    <w:rPr>
      <w:rFonts w:ascii="Arial" w:hAnsi="Arial" w:eastAsia="黑体" w:cs="Times New Roman"/>
      <w:b/>
      <w:sz w:val="32"/>
      <w:szCs w:val="20"/>
    </w:rPr>
  </w:style>
  <w:style w:type="paragraph" w:styleId="6">
    <w:name w:val="heading 3"/>
    <w:basedOn w:val="1"/>
    <w:next w:val="1"/>
    <w:link w:val="35"/>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7">
    <w:name w:val="heading 4"/>
    <w:basedOn w:val="1"/>
    <w:next w:val="1"/>
    <w:link w:val="36"/>
    <w:qFormat/>
    <w:uiPriority w:val="0"/>
    <w:pPr>
      <w:keepNext/>
      <w:keepLines/>
      <w:spacing w:before="280" w:after="290" w:line="372" w:lineRule="auto"/>
      <w:outlineLvl w:val="3"/>
    </w:pPr>
    <w:rPr>
      <w:rFonts w:ascii="Arial" w:hAnsi="Arial" w:eastAsia="黑体" w:cs="Times New Roman"/>
      <w:b/>
      <w:sz w:val="28"/>
      <w:szCs w:val="20"/>
    </w:rPr>
  </w:style>
  <w:style w:type="paragraph" w:styleId="8">
    <w:name w:val="heading 5"/>
    <w:basedOn w:val="1"/>
    <w:next w:val="1"/>
    <w:link w:val="37"/>
    <w:qFormat/>
    <w:uiPriority w:val="0"/>
    <w:pPr>
      <w:keepNext/>
      <w:keepLines/>
      <w:spacing w:before="280" w:after="290" w:line="372" w:lineRule="auto"/>
      <w:outlineLvl w:val="4"/>
    </w:pPr>
    <w:rPr>
      <w:rFonts w:ascii="Times New Roman" w:hAnsi="Times New Roman" w:eastAsia="宋体" w:cs="Times New Roman"/>
      <w:b/>
      <w:sz w:val="28"/>
      <w:szCs w:val="20"/>
    </w:rPr>
  </w:style>
  <w:style w:type="paragraph" w:styleId="9">
    <w:name w:val="heading 6"/>
    <w:basedOn w:val="1"/>
    <w:next w:val="1"/>
    <w:link w:val="38"/>
    <w:qFormat/>
    <w:uiPriority w:val="0"/>
    <w:pPr>
      <w:keepNext/>
      <w:keepLines/>
      <w:spacing w:before="240" w:after="64" w:line="317" w:lineRule="auto"/>
      <w:outlineLvl w:val="5"/>
    </w:pPr>
    <w:rPr>
      <w:rFonts w:ascii="Arial" w:hAnsi="Arial" w:eastAsia="黑体" w:cs="Times New Roman"/>
      <w:b/>
      <w:sz w:val="24"/>
      <w:szCs w:val="20"/>
    </w:rPr>
  </w:style>
  <w:style w:type="paragraph" w:styleId="10">
    <w:name w:val="heading 7"/>
    <w:basedOn w:val="1"/>
    <w:next w:val="1"/>
    <w:link w:val="39"/>
    <w:qFormat/>
    <w:uiPriority w:val="0"/>
    <w:pPr>
      <w:keepNext/>
      <w:keepLines/>
      <w:spacing w:before="240" w:after="64" w:line="317" w:lineRule="auto"/>
      <w:outlineLvl w:val="6"/>
    </w:pPr>
    <w:rPr>
      <w:rFonts w:ascii="Times New Roman" w:hAnsi="Times New Roman" w:eastAsia="宋体" w:cs="Times New Roman"/>
      <w:b/>
      <w:sz w:val="24"/>
      <w:szCs w:val="20"/>
    </w:rPr>
  </w:style>
  <w:style w:type="paragraph" w:styleId="11">
    <w:name w:val="heading 8"/>
    <w:basedOn w:val="1"/>
    <w:next w:val="1"/>
    <w:link w:val="40"/>
    <w:qFormat/>
    <w:uiPriority w:val="0"/>
    <w:pPr>
      <w:keepNext/>
      <w:keepLines/>
      <w:spacing w:before="240" w:after="64" w:line="317" w:lineRule="auto"/>
      <w:outlineLvl w:val="7"/>
    </w:pPr>
    <w:rPr>
      <w:rFonts w:ascii="Arial" w:hAnsi="Arial" w:eastAsia="黑体" w:cs="Times New Roman"/>
      <w:sz w:val="24"/>
      <w:szCs w:val="20"/>
    </w:rPr>
  </w:style>
  <w:style w:type="paragraph" w:styleId="12">
    <w:name w:val="heading 9"/>
    <w:basedOn w:val="1"/>
    <w:next w:val="1"/>
    <w:link w:val="41"/>
    <w:qFormat/>
    <w:uiPriority w:val="0"/>
    <w:pPr>
      <w:keepNext/>
      <w:keepLines/>
      <w:spacing w:before="240" w:after="64" w:line="317" w:lineRule="auto"/>
      <w:outlineLvl w:val="8"/>
    </w:pPr>
    <w:rPr>
      <w:rFonts w:ascii="Arial" w:hAnsi="Arial" w:eastAsia="黑体" w:cs="Times New Roman"/>
      <w:szCs w:val="20"/>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13">
    <w:name w:val="annotation text"/>
    <w:basedOn w:val="1"/>
    <w:link w:val="50"/>
    <w:qFormat/>
    <w:uiPriority w:val="0"/>
    <w:pPr>
      <w:jc w:val="left"/>
    </w:pPr>
    <w:rPr>
      <w:rFonts w:ascii="Times New Roman" w:hAnsi="Times New Roman" w:eastAsia="宋体" w:cs="Times New Roman"/>
      <w:szCs w:val="20"/>
    </w:rPr>
  </w:style>
  <w:style w:type="paragraph" w:styleId="14">
    <w:name w:val="Body Text"/>
    <w:basedOn w:val="1"/>
    <w:link w:val="43"/>
    <w:qFormat/>
    <w:uiPriority w:val="0"/>
    <w:rPr>
      <w:rFonts w:ascii="Times New Roman" w:hAnsi="Times New Roman" w:eastAsia="宋体" w:cs="Times New Roman"/>
      <w:sz w:val="20"/>
      <w:szCs w:val="20"/>
    </w:rPr>
  </w:style>
  <w:style w:type="paragraph" w:styleId="15">
    <w:name w:val="Plain Text"/>
    <w:basedOn w:val="1"/>
    <w:link w:val="53"/>
    <w:qFormat/>
    <w:uiPriority w:val="0"/>
    <w:rPr>
      <w:rFonts w:ascii="宋体" w:hAnsi="Courier New" w:eastAsia="宋体" w:cs="Times New Roman"/>
      <w:szCs w:val="20"/>
    </w:rPr>
  </w:style>
  <w:style w:type="paragraph" w:styleId="16">
    <w:name w:val="Balloon Text"/>
    <w:basedOn w:val="1"/>
    <w:link w:val="42"/>
    <w:semiHidden/>
    <w:qFormat/>
    <w:uiPriority w:val="0"/>
    <w:rPr>
      <w:rFonts w:ascii="Times New Roman" w:hAnsi="Times New Roman" w:eastAsia="宋体" w:cs="Times New Roman"/>
      <w:sz w:val="18"/>
      <w:szCs w:val="18"/>
    </w:rPr>
  </w:style>
  <w:style w:type="paragraph" w:styleId="17">
    <w:name w:val="footer"/>
    <w:basedOn w:val="1"/>
    <w:link w:val="32"/>
    <w:unhideWhenUsed/>
    <w:qFormat/>
    <w:uiPriority w:val="99"/>
    <w:pPr>
      <w:tabs>
        <w:tab w:val="center" w:pos="4153"/>
        <w:tab w:val="right" w:pos="8306"/>
      </w:tabs>
      <w:snapToGrid w:val="0"/>
      <w:jc w:val="left"/>
    </w:pPr>
    <w:rPr>
      <w:sz w:val="18"/>
      <w:szCs w:val="18"/>
    </w:rPr>
  </w:style>
  <w:style w:type="paragraph" w:styleId="1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eastAsia="宋体" w:cs="Times New Roman"/>
      <w:szCs w:val="20"/>
    </w:rPr>
  </w:style>
  <w:style w:type="paragraph" w:styleId="20">
    <w:name w:val="Body Text Indent 3"/>
    <w:basedOn w:val="1"/>
    <w:link w:val="49"/>
    <w:qFormat/>
    <w:uiPriority w:val="0"/>
    <w:pPr>
      <w:widowControl/>
      <w:spacing w:after="120"/>
      <w:ind w:left="420" w:leftChars="200"/>
      <w:jc w:val="left"/>
    </w:pPr>
    <w:rPr>
      <w:rFonts w:ascii="Times New Roman" w:hAnsi="Times New Roman" w:eastAsia="宋体" w:cs="Times New Roman"/>
      <w:kern w:val="0"/>
      <w:sz w:val="16"/>
      <w:szCs w:val="16"/>
    </w:rPr>
  </w:style>
  <w:style w:type="paragraph" w:styleId="21">
    <w:name w:val="toc 2"/>
    <w:basedOn w:val="1"/>
    <w:next w:val="1"/>
    <w:qFormat/>
    <w:uiPriority w:val="0"/>
    <w:pPr>
      <w:ind w:left="420" w:leftChars="200"/>
    </w:pPr>
    <w:rPr>
      <w:rFonts w:ascii="Times New Roman" w:hAnsi="Times New Roman" w:eastAsia="宋体" w:cs="Times New Roman"/>
      <w:szCs w:val="20"/>
    </w:rPr>
  </w:style>
  <w:style w:type="paragraph" w:styleId="22">
    <w:name w:val="Body Text 2"/>
    <w:basedOn w:val="1"/>
    <w:link w:val="46"/>
    <w:qFormat/>
    <w:uiPriority w:val="0"/>
    <w:pPr>
      <w:spacing w:after="120" w:line="480" w:lineRule="auto"/>
    </w:pPr>
    <w:rPr>
      <w:rFonts w:ascii="Times New Roman" w:hAnsi="Times New Roman" w:eastAsia="宋体" w:cs="Times New Roman"/>
      <w:sz w:val="20"/>
      <w:szCs w:val="20"/>
    </w:rPr>
  </w:style>
  <w:style w:type="paragraph" w:styleId="23">
    <w:name w:val="annotation subject"/>
    <w:basedOn w:val="13"/>
    <w:next w:val="13"/>
    <w:link w:val="54"/>
    <w:qFormat/>
    <w:uiPriority w:val="0"/>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qFormat/>
    <w:uiPriority w:val="0"/>
    <w:rPr>
      <w:color w:val="auto"/>
      <w:u w:val="none"/>
    </w:rPr>
  </w:style>
  <w:style w:type="character" w:styleId="29">
    <w:name w:val="Hyperlink"/>
    <w:basedOn w:val="26"/>
    <w:unhideWhenUsed/>
    <w:qFormat/>
    <w:uiPriority w:val="99"/>
    <w:rPr>
      <w:color w:val="0000FF"/>
      <w:u w:val="single"/>
    </w:rPr>
  </w:style>
  <w:style w:type="character" w:styleId="30">
    <w:name w:val="annotation reference"/>
    <w:basedOn w:val="26"/>
    <w:qFormat/>
    <w:uiPriority w:val="0"/>
    <w:rPr>
      <w:sz w:val="21"/>
      <w:szCs w:val="21"/>
    </w:rPr>
  </w:style>
  <w:style w:type="character" w:customStyle="1" w:styleId="31">
    <w:name w:val="页眉 Char"/>
    <w:basedOn w:val="26"/>
    <w:link w:val="18"/>
    <w:qFormat/>
    <w:uiPriority w:val="99"/>
    <w:rPr>
      <w:sz w:val="18"/>
      <w:szCs w:val="18"/>
    </w:rPr>
  </w:style>
  <w:style w:type="character" w:customStyle="1" w:styleId="32">
    <w:name w:val="页脚 Char"/>
    <w:basedOn w:val="26"/>
    <w:link w:val="17"/>
    <w:qFormat/>
    <w:uiPriority w:val="99"/>
    <w:rPr>
      <w:sz w:val="18"/>
      <w:szCs w:val="18"/>
    </w:rPr>
  </w:style>
  <w:style w:type="character" w:customStyle="1" w:styleId="33">
    <w:name w:val="标题 1 Char"/>
    <w:basedOn w:val="26"/>
    <w:link w:val="4"/>
    <w:qFormat/>
    <w:uiPriority w:val="0"/>
    <w:rPr>
      <w:rFonts w:ascii="Times New Roman" w:hAnsi="Times New Roman" w:eastAsia="宋体" w:cs="Times New Roman"/>
      <w:b/>
      <w:kern w:val="44"/>
      <w:sz w:val="44"/>
      <w:szCs w:val="20"/>
    </w:rPr>
  </w:style>
  <w:style w:type="character" w:customStyle="1" w:styleId="34">
    <w:name w:val="标题 2 Char"/>
    <w:basedOn w:val="26"/>
    <w:link w:val="5"/>
    <w:qFormat/>
    <w:uiPriority w:val="0"/>
    <w:rPr>
      <w:rFonts w:ascii="Arial" w:hAnsi="Arial" w:eastAsia="黑体" w:cs="Times New Roman"/>
      <w:b/>
      <w:sz w:val="32"/>
      <w:szCs w:val="20"/>
    </w:rPr>
  </w:style>
  <w:style w:type="character" w:customStyle="1" w:styleId="35">
    <w:name w:val="标题 3 Char"/>
    <w:basedOn w:val="26"/>
    <w:link w:val="6"/>
    <w:qFormat/>
    <w:uiPriority w:val="0"/>
    <w:rPr>
      <w:rFonts w:ascii="Times New Roman" w:hAnsi="Times New Roman" w:eastAsia="宋体" w:cs="Times New Roman"/>
      <w:b/>
      <w:sz w:val="32"/>
      <w:szCs w:val="20"/>
    </w:rPr>
  </w:style>
  <w:style w:type="character" w:customStyle="1" w:styleId="36">
    <w:name w:val="标题 4 Char"/>
    <w:basedOn w:val="26"/>
    <w:link w:val="7"/>
    <w:qFormat/>
    <w:uiPriority w:val="0"/>
    <w:rPr>
      <w:rFonts w:ascii="Arial" w:hAnsi="Arial" w:eastAsia="黑体" w:cs="Times New Roman"/>
      <w:b/>
      <w:sz w:val="28"/>
      <w:szCs w:val="20"/>
    </w:rPr>
  </w:style>
  <w:style w:type="character" w:customStyle="1" w:styleId="37">
    <w:name w:val="标题 5 Char"/>
    <w:basedOn w:val="26"/>
    <w:link w:val="8"/>
    <w:qFormat/>
    <w:uiPriority w:val="0"/>
    <w:rPr>
      <w:rFonts w:ascii="Times New Roman" w:hAnsi="Times New Roman" w:eastAsia="宋体" w:cs="Times New Roman"/>
      <w:b/>
      <w:sz w:val="28"/>
      <w:szCs w:val="20"/>
    </w:rPr>
  </w:style>
  <w:style w:type="character" w:customStyle="1" w:styleId="38">
    <w:name w:val="标题 6 Char"/>
    <w:basedOn w:val="26"/>
    <w:link w:val="9"/>
    <w:qFormat/>
    <w:uiPriority w:val="0"/>
    <w:rPr>
      <w:rFonts w:ascii="Arial" w:hAnsi="Arial" w:eastAsia="黑体" w:cs="Times New Roman"/>
      <w:b/>
      <w:sz w:val="24"/>
      <w:szCs w:val="20"/>
    </w:rPr>
  </w:style>
  <w:style w:type="character" w:customStyle="1" w:styleId="39">
    <w:name w:val="标题 7 Char"/>
    <w:basedOn w:val="26"/>
    <w:link w:val="10"/>
    <w:qFormat/>
    <w:uiPriority w:val="0"/>
    <w:rPr>
      <w:rFonts w:ascii="Times New Roman" w:hAnsi="Times New Roman" w:eastAsia="宋体" w:cs="Times New Roman"/>
      <w:b/>
      <w:sz w:val="24"/>
      <w:szCs w:val="20"/>
    </w:rPr>
  </w:style>
  <w:style w:type="character" w:customStyle="1" w:styleId="40">
    <w:name w:val="标题 8 Char"/>
    <w:basedOn w:val="26"/>
    <w:link w:val="11"/>
    <w:qFormat/>
    <w:uiPriority w:val="0"/>
    <w:rPr>
      <w:rFonts w:ascii="Arial" w:hAnsi="Arial" w:eastAsia="黑体" w:cs="Times New Roman"/>
      <w:sz w:val="24"/>
      <w:szCs w:val="20"/>
    </w:rPr>
  </w:style>
  <w:style w:type="character" w:customStyle="1" w:styleId="41">
    <w:name w:val="标题 9 Char"/>
    <w:basedOn w:val="26"/>
    <w:link w:val="12"/>
    <w:qFormat/>
    <w:uiPriority w:val="0"/>
    <w:rPr>
      <w:rFonts w:ascii="Arial" w:hAnsi="Arial" w:eastAsia="黑体" w:cs="Times New Roman"/>
      <w:szCs w:val="20"/>
    </w:rPr>
  </w:style>
  <w:style w:type="character" w:customStyle="1" w:styleId="42">
    <w:name w:val="批注框文本 Char"/>
    <w:basedOn w:val="26"/>
    <w:link w:val="16"/>
    <w:semiHidden/>
    <w:qFormat/>
    <w:uiPriority w:val="0"/>
    <w:rPr>
      <w:rFonts w:ascii="Times New Roman" w:hAnsi="Times New Roman" w:eastAsia="宋体" w:cs="Times New Roman"/>
      <w:sz w:val="18"/>
      <w:szCs w:val="18"/>
    </w:rPr>
  </w:style>
  <w:style w:type="character" w:customStyle="1" w:styleId="43">
    <w:name w:val="正文文本 Char"/>
    <w:basedOn w:val="26"/>
    <w:link w:val="14"/>
    <w:qFormat/>
    <w:uiPriority w:val="0"/>
    <w:rPr>
      <w:rFonts w:ascii="Times New Roman" w:hAnsi="Times New Roman" w:eastAsia="宋体" w:cs="Times New Roman"/>
      <w:sz w:val="20"/>
      <w:szCs w:val="20"/>
    </w:rPr>
  </w:style>
  <w:style w:type="paragraph" w:styleId="44">
    <w:name w:val="List Paragraph"/>
    <w:basedOn w:val="1"/>
    <w:qFormat/>
    <w:uiPriority w:val="0"/>
    <w:pPr>
      <w:ind w:firstLine="420" w:firstLineChars="200"/>
    </w:pPr>
    <w:rPr>
      <w:rFonts w:ascii="Times New Roman" w:hAnsi="Times New Roman" w:eastAsia="宋体" w:cs="Times New Roman"/>
      <w:szCs w:val="20"/>
    </w:rPr>
  </w:style>
  <w:style w:type="paragraph" w:customStyle="1" w:styleId="45">
    <w:name w:val="纯文本1"/>
    <w:basedOn w:val="1"/>
    <w:qFormat/>
    <w:uiPriority w:val="0"/>
    <w:rPr>
      <w:rFonts w:ascii="宋体" w:hAnsi="Courier New" w:eastAsia="宋体" w:cs="Times New Roman"/>
    </w:rPr>
  </w:style>
  <w:style w:type="character" w:customStyle="1" w:styleId="46">
    <w:name w:val="正文文本 2 Char"/>
    <w:basedOn w:val="26"/>
    <w:link w:val="22"/>
    <w:qFormat/>
    <w:uiPriority w:val="0"/>
    <w:rPr>
      <w:rFonts w:ascii="Times New Roman" w:hAnsi="Times New Roman" w:eastAsia="宋体" w:cs="Times New Roman"/>
      <w:sz w:val="20"/>
      <w:szCs w:val="20"/>
    </w:rPr>
  </w:style>
  <w:style w:type="paragraph" w:customStyle="1" w:styleId="47">
    <w:name w:val="Default Paragraph Font Para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8">
    <w:name w:val="正文缩进1"/>
    <w:basedOn w:val="1"/>
    <w:qFormat/>
    <w:uiPriority w:val="0"/>
    <w:pPr>
      <w:autoSpaceDE w:val="0"/>
      <w:autoSpaceDN w:val="0"/>
      <w:adjustRightInd w:val="0"/>
      <w:ind w:firstLine="420"/>
      <w:jc w:val="left"/>
    </w:pPr>
    <w:rPr>
      <w:rFonts w:ascii="宋体" w:hAnsi="Calibri" w:eastAsia="宋体" w:cs="Times New Roman"/>
      <w:sz w:val="24"/>
    </w:rPr>
  </w:style>
  <w:style w:type="character" w:customStyle="1" w:styleId="49">
    <w:name w:val="正文文本缩进 3 Char"/>
    <w:basedOn w:val="26"/>
    <w:link w:val="20"/>
    <w:qFormat/>
    <w:uiPriority w:val="0"/>
    <w:rPr>
      <w:rFonts w:ascii="Times New Roman" w:hAnsi="Times New Roman" w:eastAsia="宋体" w:cs="Times New Roman"/>
      <w:kern w:val="0"/>
      <w:sz w:val="16"/>
      <w:szCs w:val="16"/>
    </w:rPr>
  </w:style>
  <w:style w:type="character" w:customStyle="1" w:styleId="50">
    <w:name w:val="批注文字 Char"/>
    <w:basedOn w:val="26"/>
    <w:link w:val="13"/>
    <w:qFormat/>
    <w:uiPriority w:val="0"/>
    <w:rPr>
      <w:rFonts w:ascii="Times New Roman" w:hAnsi="Times New Roman" w:eastAsia="宋体" w:cs="Times New Roman"/>
      <w:szCs w:val="20"/>
    </w:rPr>
  </w:style>
  <w:style w:type="paragraph" w:customStyle="1" w:styleId="51">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52">
    <w:name w:val="普通文字"/>
    <w:basedOn w:val="1"/>
    <w:next w:val="1"/>
    <w:qFormat/>
    <w:uiPriority w:val="0"/>
    <w:rPr>
      <w:rFonts w:ascii="宋体" w:hAnsi="Times New Roman" w:eastAsia="宋体" w:cs="Times New Roman"/>
      <w:kern w:val="0"/>
      <w:sz w:val="24"/>
      <w:szCs w:val="20"/>
      <w:u w:color="000000"/>
    </w:rPr>
  </w:style>
  <w:style w:type="character" w:customStyle="1" w:styleId="53">
    <w:name w:val="纯文本 Char1"/>
    <w:basedOn w:val="26"/>
    <w:link w:val="15"/>
    <w:qFormat/>
    <w:uiPriority w:val="0"/>
    <w:rPr>
      <w:rFonts w:ascii="宋体" w:hAnsi="Courier New" w:eastAsia="宋体" w:cs="Times New Roman"/>
      <w:szCs w:val="20"/>
    </w:rPr>
  </w:style>
  <w:style w:type="character" w:customStyle="1" w:styleId="54">
    <w:name w:val="批注主题 Char"/>
    <w:basedOn w:val="50"/>
    <w:link w:val="23"/>
    <w:qFormat/>
    <w:uiPriority w:val="0"/>
    <w:rPr>
      <w:rFonts w:ascii="Times New Roman" w:hAnsi="Times New Roman" w:eastAsia="宋体" w:cs="Times New Roman"/>
      <w:b/>
      <w:bCs/>
      <w:szCs w:val="20"/>
    </w:rPr>
  </w:style>
  <w:style w:type="paragraph" w:styleId="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Normal_1"/>
    <w:qFormat/>
    <w:uiPriority w:val="0"/>
    <w:pPr>
      <w:widowControl w:val="0"/>
      <w:jc w:val="both"/>
    </w:pPr>
    <w:rPr>
      <w:rFonts w:ascii="Times New Roman" w:hAnsi="Times New Roman" w:eastAsia="Times New Roman" w:cs="Times New Roman"/>
      <w:lang w:val="en-US" w:eastAsia="zh-CN" w:bidi="ar-SA"/>
    </w:rPr>
  </w:style>
  <w:style w:type="paragraph" w:customStyle="1" w:styleId="57">
    <w:name w:val="正文_1_0"/>
    <w:basedOn w:val="1"/>
    <w:qFormat/>
    <w:uiPriority w:val="0"/>
    <w:rPr>
      <w:rFonts w:ascii="Times New Roman" w:hAnsi="Times New Roman" w:eastAsia="宋体" w:cs="Times New Roman"/>
      <w:szCs w:val="24"/>
    </w:rPr>
  </w:style>
  <w:style w:type="paragraph" w:customStyle="1" w:styleId="58">
    <w:name w:val="列出段落1"/>
    <w:basedOn w:val="1"/>
    <w:qFormat/>
    <w:uiPriority w:val="0"/>
    <w:pPr>
      <w:ind w:firstLine="420" w:firstLineChars="200"/>
    </w:pPr>
    <w:rPr>
      <w:rFonts w:ascii="Calibri" w:hAnsi="Calibri" w:eastAsia="微软雅黑" w:cs="Times New Roman"/>
      <w:szCs w:val="21"/>
    </w:rPr>
  </w:style>
  <w:style w:type="paragraph" w:customStyle="1" w:styleId="59">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纯文本 Char"/>
    <w:qFormat/>
    <w:uiPriority w:val="0"/>
    <w:rPr>
      <w:rFonts w:ascii="Calibri" w:hAnsi="Calibri"/>
      <w:kern w:val="2"/>
      <w:sz w:val="24"/>
      <w:szCs w:val="24"/>
    </w:rPr>
  </w:style>
  <w:style w:type="paragraph" w:customStyle="1" w:styleId="61">
    <w:name w:val="Normal_0"/>
    <w:qFormat/>
    <w:uiPriority w:val="0"/>
    <w:rPr>
      <w:rFonts w:ascii="黑体" w:hAnsi="黑体" w:eastAsia="黑体" w:cs="Times New Roman"/>
      <w:b/>
      <w:sz w:val="32"/>
      <w:szCs w:val="24"/>
      <w:lang w:val="en-US" w:eastAsia="zh-CN" w:bidi="ar-SA"/>
    </w:rPr>
  </w:style>
  <w:style w:type="paragraph" w:customStyle="1" w:styleId="6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2"/>
    <w:qFormat/>
    <w:uiPriority w:val="0"/>
    <w:pPr>
      <w:widowControl w:val="0"/>
      <w:jc w:val="both"/>
    </w:pPr>
    <w:rPr>
      <w:rFonts w:ascii="Calibri" w:hAnsi="Calibri" w:eastAsia="宋体" w:cs="Times New Roman"/>
      <w:kern w:val="2"/>
      <w:sz w:val="21"/>
      <w:szCs w:val="24"/>
      <w:lang w:val="en-US" w:eastAsia="zh-CN" w:bidi="ar-SA"/>
    </w:rPr>
  </w:style>
  <w:style w:type="character" w:customStyle="1" w:styleId="64">
    <w:name w:val="font31"/>
    <w:basedOn w:val="26"/>
    <w:qFormat/>
    <w:uiPriority w:val="0"/>
    <w:rPr>
      <w:rFonts w:hint="eastAsia" w:ascii="宋体" w:hAnsi="宋体" w:eastAsia="宋体" w:cs="宋体"/>
      <w:color w:val="000000"/>
      <w:sz w:val="24"/>
      <w:szCs w:val="24"/>
      <w:u w:val="none"/>
    </w:rPr>
  </w:style>
  <w:style w:type="character" w:customStyle="1" w:styleId="65">
    <w:name w:val="font21"/>
    <w:basedOn w:val="26"/>
    <w:qFormat/>
    <w:uiPriority w:val="0"/>
    <w:rPr>
      <w:rFonts w:hint="eastAsia" w:ascii="宋体" w:hAnsi="宋体" w:eastAsia="宋体" w:cs="宋体"/>
      <w:color w:val="FF0000"/>
      <w:sz w:val="24"/>
      <w:szCs w:val="24"/>
      <w:u w:val="none"/>
    </w:rPr>
  </w:style>
  <w:style w:type="paragraph" w:customStyle="1" w:styleId="66">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6"/>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2426E-0F3C-43A7-A2EE-74AAE5430D2D}">
  <ds:schemaRefs/>
</ds:datastoreItem>
</file>

<file path=docProps/app.xml><?xml version="1.0" encoding="utf-8"?>
<Properties xmlns="http://schemas.openxmlformats.org/officeDocument/2006/extended-properties" xmlns:vt="http://schemas.openxmlformats.org/officeDocument/2006/docPropsVTypes">
  <Template>Normal</Template>
  <Company>ra</Company>
  <Pages>34</Pages>
  <Words>14414</Words>
  <Characters>15028</Characters>
  <Lines>122</Lines>
  <Paragraphs>34</Paragraphs>
  <TotalTime>72</TotalTime>
  <ScaleCrop>false</ScaleCrop>
  <LinksUpToDate>false</LinksUpToDate>
  <CharactersWithSpaces>15859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2023-04-19T06:01:00Z</dcterms:created>
  <dc:creator>zyz</dc:creator>
  <cp:lastModifiedBy>何以为之而后快</cp:lastModifiedBy>
  <cp:lastPrinted>2023-04-21T08:09:00Z</cp:lastPrinted>
  <dcterms:modified xsi:type="dcterms:W3CDTF">2023-04-23T02:08:56Z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222E9B7F680F4B80AEC4BDC1C2007CBE</vt:lpwstr>
  </property>
</Properties>
</file>